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1B4A4" w14:textId="1B5F22D6" w:rsidR="00E5527F" w:rsidRPr="00BE4704" w:rsidRDefault="00E5527F" w:rsidP="007F28DF">
      <w:pPr>
        <w:pStyle w:val="NormaaliWWW"/>
        <w:spacing w:before="0" w:beforeAutospacing="0" w:after="0" w:afterAutospacing="0"/>
        <w:jc w:val="center"/>
        <w:textAlignment w:val="baseline"/>
        <w:rPr>
          <w:rFonts w:eastAsia="MS PGothic"/>
          <w:b/>
          <w:bCs/>
          <w:color w:val="0000FF"/>
          <w:kern w:val="24"/>
        </w:rPr>
      </w:pPr>
    </w:p>
    <w:p w14:paraId="7EE1B4A5" w14:textId="77777777" w:rsidR="00D87406" w:rsidRPr="00994DFD" w:rsidRDefault="00D87406" w:rsidP="00994DFD">
      <w:pPr>
        <w:pStyle w:val="NormaaliWWW"/>
        <w:spacing w:before="0" w:beforeAutospacing="0" w:after="0" w:afterAutospacing="0"/>
        <w:jc w:val="right"/>
        <w:textAlignment w:val="baseline"/>
        <w:rPr>
          <w:rFonts w:eastAsia="MS PGothic" w:cs="Times New Roman"/>
          <w:color w:val="000000" w:themeColor="text1"/>
          <w:kern w:val="24"/>
          <w:sz w:val="20"/>
          <w:szCs w:val="20"/>
        </w:rPr>
      </w:pPr>
    </w:p>
    <w:p w14:paraId="7EE1B4A6" w14:textId="77777777" w:rsidR="000854B4" w:rsidRDefault="000854B4" w:rsidP="007F28DF">
      <w:pPr>
        <w:pStyle w:val="NormaaliWWW"/>
        <w:spacing w:before="0" w:beforeAutospacing="0" w:after="0" w:afterAutospacing="0"/>
        <w:textAlignment w:val="baseline"/>
        <w:rPr>
          <w:rFonts w:eastAsia="MS PGothic" w:cs="Times New Roman"/>
          <w:color w:val="000000" w:themeColor="text1"/>
          <w:kern w:val="24"/>
          <w:sz w:val="28"/>
          <w:szCs w:val="28"/>
        </w:rPr>
      </w:pPr>
    </w:p>
    <w:p w14:paraId="7EE1B4A7" w14:textId="77777777" w:rsidR="000854B4" w:rsidRDefault="000854B4" w:rsidP="007F28DF">
      <w:pPr>
        <w:pStyle w:val="NormaaliWWW"/>
        <w:spacing w:before="0" w:beforeAutospacing="0" w:after="0" w:afterAutospacing="0"/>
        <w:textAlignment w:val="baseline"/>
        <w:rPr>
          <w:rFonts w:eastAsia="MS PGothic" w:cs="Times New Roman"/>
          <w:color w:val="000000" w:themeColor="text1"/>
          <w:kern w:val="24"/>
          <w:sz w:val="28"/>
          <w:szCs w:val="28"/>
        </w:rPr>
      </w:pPr>
    </w:p>
    <w:p w14:paraId="7EE1B4A8" w14:textId="77777777" w:rsidR="000854B4" w:rsidRDefault="000854B4" w:rsidP="007F28DF">
      <w:pPr>
        <w:pStyle w:val="NormaaliWWW"/>
        <w:spacing w:before="0" w:beforeAutospacing="0" w:after="0" w:afterAutospacing="0"/>
        <w:textAlignment w:val="baseline"/>
        <w:rPr>
          <w:rFonts w:eastAsia="MS PGothic" w:cs="Times New Roman"/>
          <w:color w:val="000000" w:themeColor="text1"/>
          <w:kern w:val="24"/>
          <w:sz w:val="28"/>
          <w:szCs w:val="28"/>
        </w:rPr>
      </w:pPr>
    </w:p>
    <w:p w14:paraId="7EE1B4A9" w14:textId="77777777" w:rsidR="000854B4" w:rsidRDefault="000854B4" w:rsidP="007F28DF">
      <w:pPr>
        <w:pStyle w:val="NormaaliWWW"/>
        <w:spacing w:before="0" w:beforeAutospacing="0" w:after="0" w:afterAutospacing="0"/>
        <w:textAlignment w:val="baseline"/>
        <w:rPr>
          <w:rFonts w:eastAsia="MS PGothic" w:cs="Times New Roman"/>
          <w:color w:val="000000" w:themeColor="text1"/>
          <w:kern w:val="24"/>
          <w:sz w:val="28"/>
          <w:szCs w:val="28"/>
        </w:rPr>
      </w:pPr>
    </w:p>
    <w:p w14:paraId="7EE1B4AA" w14:textId="452E0852" w:rsidR="00C9548B" w:rsidRPr="00656A03" w:rsidRDefault="00FE0E29" w:rsidP="00642C51">
      <w:pPr>
        <w:pStyle w:val="NormaaliWWW"/>
        <w:spacing w:before="0" w:beforeAutospacing="0" w:after="0" w:afterAutospacing="0"/>
        <w:jc w:val="center"/>
        <w:textAlignment w:val="baseline"/>
        <w:rPr>
          <w:rFonts w:eastAsia="MS PGothic" w:cs="Times New Roman"/>
          <w:bCs/>
          <w:color w:val="000000" w:themeColor="text1"/>
          <w:kern w:val="24"/>
          <w:sz w:val="40"/>
          <w:szCs w:val="40"/>
        </w:rPr>
      </w:pPr>
      <w:r>
        <w:rPr>
          <w:rFonts w:eastAsia="MS PGothic" w:cs="Times New Roman"/>
          <w:color w:val="000000" w:themeColor="text1"/>
          <w:kern w:val="24"/>
          <w:sz w:val="40"/>
          <w:szCs w:val="40"/>
        </w:rPr>
        <w:t xml:space="preserve">Palveluvalikoimaneuvoston </w:t>
      </w:r>
      <w:r w:rsidR="001630D8">
        <w:rPr>
          <w:rFonts w:eastAsia="MS PGothic" w:cs="Times New Roman"/>
          <w:color w:val="000000" w:themeColor="text1"/>
          <w:kern w:val="24"/>
          <w:sz w:val="40"/>
          <w:szCs w:val="40"/>
        </w:rPr>
        <w:t>perustelu</w:t>
      </w:r>
      <w:r w:rsidR="00642C51">
        <w:rPr>
          <w:rFonts w:eastAsia="MS PGothic" w:cs="Times New Roman"/>
          <w:color w:val="000000" w:themeColor="text1"/>
          <w:kern w:val="24"/>
          <w:sz w:val="40"/>
          <w:szCs w:val="40"/>
        </w:rPr>
        <w:t>muistio</w:t>
      </w:r>
    </w:p>
    <w:p w14:paraId="7EE1B4AB" w14:textId="77777777" w:rsidR="009920D3" w:rsidRPr="00F439C4" w:rsidRDefault="009920D3" w:rsidP="00642C51">
      <w:pPr>
        <w:pStyle w:val="NormaaliWWW"/>
        <w:spacing w:before="0" w:beforeAutospacing="0" w:after="0" w:afterAutospacing="0"/>
        <w:jc w:val="center"/>
        <w:textAlignment w:val="baseline"/>
        <w:rPr>
          <w:rFonts w:eastAsia="MS PGothic" w:cs="Times New Roman"/>
          <w:b/>
          <w:bCs/>
          <w:color w:val="000000" w:themeColor="text1"/>
          <w:kern w:val="24"/>
          <w:sz w:val="28"/>
          <w:szCs w:val="28"/>
        </w:rPr>
      </w:pPr>
    </w:p>
    <w:p w14:paraId="7EE1B4AC" w14:textId="77777777" w:rsidR="00320709" w:rsidRDefault="00320709" w:rsidP="00CC2F17">
      <w:pPr>
        <w:pStyle w:val="NormaaliWWW"/>
        <w:spacing w:before="0" w:beforeAutospacing="0" w:after="0" w:afterAutospacing="0"/>
        <w:textAlignment w:val="baseline"/>
        <w:rPr>
          <w:rFonts w:eastAsia="MS PGothic" w:cs="Times New Roman"/>
          <w:b/>
          <w:color w:val="000000" w:themeColor="text1"/>
          <w:kern w:val="24"/>
          <w:sz w:val="32"/>
          <w:szCs w:val="28"/>
        </w:rPr>
      </w:pPr>
    </w:p>
    <w:p w14:paraId="7EE1B4AD" w14:textId="77777777" w:rsidR="00320709" w:rsidRDefault="00320709" w:rsidP="00CC2F17">
      <w:pPr>
        <w:pStyle w:val="NormaaliWWW"/>
        <w:spacing w:before="0" w:beforeAutospacing="0" w:after="0" w:afterAutospacing="0"/>
        <w:textAlignment w:val="baseline"/>
        <w:rPr>
          <w:rFonts w:eastAsia="MS PGothic" w:cs="Times New Roman"/>
          <w:b/>
          <w:color w:val="000000" w:themeColor="text1"/>
          <w:kern w:val="24"/>
          <w:sz w:val="32"/>
          <w:szCs w:val="28"/>
        </w:rPr>
      </w:pPr>
    </w:p>
    <w:p w14:paraId="7EE1B4AE" w14:textId="77777777" w:rsidR="00320709" w:rsidRDefault="00320709" w:rsidP="00CC2F17">
      <w:pPr>
        <w:pStyle w:val="NormaaliWWW"/>
        <w:spacing w:before="0" w:beforeAutospacing="0" w:after="0" w:afterAutospacing="0"/>
        <w:textAlignment w:val="baseline"/>
        <w:rPr>
          <w:rFonts w:eastAsia="MS PGothic" w:cs="Times New Roman"/>
          <w:b/>
          <w:color w:val="000000" w:themeColor="text1"/>
          <w:kern w:val="24"/>
          <w:sz w:val="32"/>
          <w:szCs w:val="28"/>
        </w:rPr>
      </w:pPr>
    </w:p>
    <w:p w14:paraId="72053C10" w14:textId="3E82A927" w:rsidR="0035747B" w:rsidRPr="0035747B" w:rsidRDefault="0035747B" w:rsidP="0035747B">
      <w:pPr>
        <w:pStyle w:val="NormaaliWWW"/>
        <w:jc w:val="center"/>
        <w:textAlignment w:val="baseline"/>
        <w:rPr>
          <w:rFonts w:eastAsia="MS PGothic" w:cs="Times New Roman"/>
          <w:b/>
          <w:color w:val="000000" w:themeColor="text1"/>
          <w:kern w:val="24"/>
          <w:sz w:val="44"/>
          <w:szCs w:val="40"/>
        </w:rPr>
      </w:pPr>
      <w:r w:rsidRPr="0035747B">
        <w:rPr>
          <w:rFonts w:eastAsia="MS PGothic" w:cs="Times New Roman"/>
          <w:b/>
          <w:color w:val="000000" w:themeColor="text1"/>
          <w:kern w:val="24"/>
          <w:sz w:val="44"/>
          <w:szCs w:val="40"/>
        </w:rPr>
        <w:t xml:space="preserve">TISAGENLEKLEUSEELI </w:t>
      </w:r>
    </w:p>
    <w:p w14:paraId="4DDE2AD2" w14:textId="04CADDE1" w:rsidR="0035747B" w:rsidRPr="0035747B" w:rsidRDefault="0035747B" w:rsidP="0035747B">
      <w:pPr>
        <w:pStyle w:val="NormaaliWWW"/>
        <w:jc w:val="center"/>
        <w:textAlignment w:val="baseline"/>
        <w:rPr>
          <w:rFonts w:eastAsia="MS PGothic" w:cs="Times New Roman"/>
          <w:b/>
          <w:color w:val="000000" w:themeColor="text1"/>
          <w:kern w:val="24"/>
          <w:sz w:val="44"/>
          <w:szCs w:val="40"/>
        </w:rPr>
      </w:pPr>
      <w:r w:rsidRPr="0035747B">
        <w:rPr>
          <w:rFonts w:eastAsia="MS PGothic" w:cs="Times New Roman"/>
          <w:b/>
          <w:color w:val="000000" w:themeColor="text1"/>
          <w:kern w:val="24"/>
          <w:sz w:val="44"/>
          <w:szCs w:val="40"/>
        </w:rPr>
        <w:t>(</w:t>
      </w:r>
      <w:proofErr w:type="spellStart"/>
      <w:r w:rsidRPr="0035747B">
        <w:rPr>
          <w:rFonts w:eastAsia="MS PGothic" w:cs="Times New Roman"/>
          <w:b/>
          <w:color w:val="000000" w:themeColor="text1"/>
          <w:kern w:val="24"/>
          <w:sz w:val="44"/>
          <w:szCs w:val="40"/>
        </w:rPr>
        <w:t>Kymriah</w:t>
      </w:r>
      <w:proofErr w:type="spellEnd"/>
      <w:r w:rsidR="009D1D79" w:rsidRPr="009D1D79">
        <w:rPr>
          <w:rFonts w:eastAsia="MS PGothic" w:cs="Times New Roman"/>
          <w:b/>
          <w:color w:val="000000" w:themeColor="text1"/>
          <w:kern w:val="24"/>
          <w:sz w:val="44"/>
          <w:szCs w:val="40"/>
          <w:vertAlign w:val="superscript"/>
        </w:rPr>
        <w:t>®</w:t>
      </w:r>
      <w:r w:rsidRPr="0035747B">
        <w:rPr>
          <w:rFonts w:eastAsia="MS PGothic" w:cs="Times New Roman"/>
          <w:b/>
          <w:color w:val="000000" w:themeColor="text1"/>
          <w:kern w:val="24"/>
          <w:sz w:val="44"/>
          <w:szCs w:val="40"/>
        </w:rPr>
        <w:t>)</w:t>
      </w:r>
    </w:p>
    <w:p w14:paraId="5F1DA19D" w14:textId="77777777" w:rsidR="0035747B" w:rsidRPr="0035747B" w:rsidRDefault="0035747B" w:rsidP="0035747B">
      <w:pPr>
        <w:pStyle w:val="NormaaliWWW"/>
        <w:jc w:val="center"/>
        <w:textAlignment w:val="baseline"/>
        <w:rPr>
          <w:rFonts w:eastAsia="MS PGothic" w:cs="Times New Roman"/>
          <w:b/>
          <w:color w:val="000000" w:themeColor="text1"/>
          <w:kern w:val="24"/>
          <w:sz w:val="44"/>
          <w:szCs w:val="40"/>
        </w:rPr>
      </w:pPr>
      <w:r w:rsidRPr="0035747B">
        <w:rPr>
          <w:rFonts w:eastAsia="MS PGothic" w:cs="Times New Roman"/>
          <w:b/>
          <w:color w:val="000000" w:themeColor="text1"/>
          <w:kern w:val="24"/>
          <w:sz w:val="44"/>
          <w:szCs w:val="40"/>
        </w:rPr>
        <w:t xml:space="preserve">B-SOLULINJAN AKUUTIN </w:t>
      </w:r>
    </w:p>
    <w:p w14:paraId="7EE1B4B0" w14:textId="0ECDF063" w:rsidR="004C4829" w:rsidRPr="00E120D8" w:rsidRDefault="0035747B" w:rsidP="0035747B">
      <w:pPr>
        <w:pStyle w:val="NormaaliWWW"/>
        <w:spacing w:before="0" w:beforeAutospacing="0" w:after="0" w:afterAutospacing="0"/>
        <w:jc w:val="center"/>
        <w:textAlignment w:val="baseline"/>
        <w:rPr>
          <w:rFonts w:eastAsia="MS PGothic" w:cs="Times New Roman"/>
          <w:b/>
          <w:color w:val="000000" w:themeColor="text1"/>
          <w:kern w:val="24"/>
          <w:sz w:val="44"/>
          <w:szCs w:val="40"/>
        </w:rPr>
      </w:pPr>
      <w:r w:rsidRPr="0035747B">
        <w:rPr>
          <w:rFonts w:eastAsia="MS PGothic" w:cs="Times New Roman"/>
          <w:b/>
          <w:color w:val="000000" w:themeColor="text1"/>
          <w:kern w:val="24"/>
          <w:sz w:val="44"/>
          <w:szCs w:val="40"/>
        </w:rPr>
        <w:t>LYMFOBLASTISEN LEUKEMIAN HOIDOSSA</w:t>
      </w:r>
    </w:p>
    <w:p w14:paraId="7EE1B4B1" w14:textId="77777777" w:rsidR="00BD642B" w:rsidRDefault="00BD642B" w:rsidP="00CC2F17">
      <w:pPr>
        <w:pStyle w:val="NormaaliWWW"/>
        <w:spacing w:before="0" w:beforeAutospacing="0" w:after="0" w:afterAutospacing="0"/>
        <w:textAlignment w:val="baseline"/>
        <w:rPr>
          <w:rFonts w:eastAsia="MS PGothic" w:cs="Times New Roman"/>
          <w:b/>
          <w:color w:val="000000" w:themeColor="text1"/>
          <w:kern w:val="24"/>
          <w:sz w:val="28"/>
          <w:szCs w:val="28"/>
        </w:rPr>
      </w:pPr>
    </w:p>
    <w:p w14:paraId="7EE1B4B2" w14:textId="77777777" w:rsidR="00BD642B" w:rsidRPr="00BD642B" w:rsidRDefault="00BD642B" w:rsidP="00BD642B">
      <w:pPr>
        <w:rPr>
          <w:rFonts w:eastAsia="MS PGothic"/>
        </w:rPr>
      </w:pPr>
    </w:p>
    <w:p w14:paraId="7EE1B4B3" w14:textId="77777777" w:rsidR="00BD642B" w:rsidRPr="00BD642B" w:rsidRDefault="00BD642B" w:rsidP="00BD642B">
      <w:pPr>
        <w:rPr>
          <w:rFonts w:eastAsia="MS PGothic"/>
        </w:rPr>
      </w:pPr>
    </w:p>
    <w:p w14:paraId="7EE1B4B4" w14:textId="77777777" w:rsidR="00BD642B" w:rsidRPr="00BD642B" w:rsidRDefault="00BD642B" w:rsidP="00BD642B">
      <w:pPr>
        <w:rPr>
          <w:rFonts w:eastAsia="MS PGothic"/>
        </w:rPr>
      </w:pPr>
    </w:p>
    <w:p w14:paraId="7EE1B4B5" w14:textId="77777777" w:rsidR="00BD642B" w:rsidRPr="00BD642B" w:rsidRDefault="00BD642B" w:rsidP="00BD642B">
      <w:pPr>
        <w:rPr>
          <w:rFonts w:eastAsia="MS PGothic"/>
        </w:rPr>
      </w:pPr>
    </w:p>
    <w:p w14:paraId="7EE1B4B6" w14:textId="77777777" w:rsidR="00363CC9" w:rsidRDefault="00363CC9" w:rsidP="00BD642B">
      <w:pPr>
        <w:rPr>
          <w:rFonts w:eastAsia="MS PGothic"/>
        </w:rPr>
      </w:pPr>
    </w:p>
    <w:p w14:paraId="7EE1B4B7" w14:textId="77777777" w:rsidR="00363CC9" w:rsidRDefault="00363CC9">
      <w:pPr>
        <w:rPr>
          <w:rFonts w:eastAsia="MS PGothic"/>
        </w:rPr>
      </w:pPr>
    </w:p>
    <w:p w14:paraId="7EE1B4B8" w14:textId="77777777" w:rsidR="00363CC9" w:rsidRDefault="00363CC9">
      <w:pPr>
        <w:rPr>
          <w:rFonts w:eastAsia="MS PGothic"/>
        </w:rPr>
      </w:pPr>
      <w:r>
        <w:rPr>
          <w:rFonts w:eastAsia="MS PGothic"/>
        </w:rPr>
        <w:br w:type="page"/>
      </w:r>
    </w:p>
    <w:p w14:paraId="7EE1B4B9" w14:textId="77777777" w:rsidR="00363CC9" w:rsidRDefault="00363CC9">
      <w:pPr>
        <w:rPr>
          <w:rFonts w:eastAsia="MS PGothic"/>
        </w:rPr>
      </w:pPr>
    </w:p>
    <w:sdt>
      <w:sdtPr>
        <w:rPr>
          <w:rFonts w:ascii="Times New Roman" w:hAnsi="Times New Roman"/>
          <w:color w:val="auto"/>
          <w:sz w:val="24"/>
        </w:rPr>
        <w:id w:val="-539587374"/>
        <w:docPartObj>
          <w:docPartGallery w:val="Table of Contents"/>
          <w:docPartUnique/>
        </w:docPartObj>
      </w:sdtPr>
      <w:sdtEndPr>
        <w:rPr>
          <w:b/>
          <w:bCs/>
        </w:rPr>
      </w:sdtEndPr>
      <w:sdtContent>
        <w:p w14:paraId="7EE1B4BA" w14:textId="77777777" w:rsidR="00363CC9" w:rsidRDefault="00363CC9">
          <w:pPr>
            <w:pStyle w:val="Sisllysluettelonotsikko"/>
          </w:pPr>
          <w:r>
            <w:t>Sisällys</w:t>
          </w:r>
        </w:p>
        <w:p w14:paraId="7EE1B4BB" w14:textId="77777777" w:rsidR="006A08BE" w:rsidRPr="006A08BE" w:rsidRDefault="006A08BE" w:rsidP="006A08BE"/>
        <w:p w14:paraId="0006001C" w14:textId="0C5C87AF" w:rsidR="001575D6" w:rsidRDefault="00363CC9">
          <w:pPr>
            <w:pStyle w:val="Sisluet2"/>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35066125" w:history="1">
            <w:r w:rsidR="001575D6" w:rsidRPr="00305272">
              <w:rPr>
                <w:rStyle w:val="Hyperlinkki"/>
                <w:noProof/>
              </w:rPr>
              <w:t>1.</w:t>
            </w:r>
            <w:r w:rsidR="001575D6">
              <w:rPr>
                <w:rFonts w:asciiTheme="minorHAnsi" w:eastAsiaTheme="minorEastAsia" w:hAnsiTheme="minorHAnsi" w:cstheme="minorBidi"/>
                <w:noProof/>
                <w:sz w:val="22"/>
                <w:szCs w:val="22"/>
              </w:rPr>
              <w:tab/>
            </w:r>
            <w:r w:rsidR="001575D6" w:rsidRPr="00305272">
              <w:rPr>
                <w:rStyle w:val="Hyperlinkki"/>
                <w:noProof/>
              </w:rPr>
              <w:t>Taustaa, perusteet suosituksen laatimiseen</w:t>
            </w:r>
            <w:r w:rsidR="001575D6">
              <w:rPr>
                <w:noProof/>
                <w:webHidden/>
              </w:rPr>
              <w:tab/>
            </w:r>
            <w:r w:rsidR="001575D6">
              <w:rPr>
                <w:noProof/>
                <w:webHidden/>
              </w:rPr>
              <w:fldChar w:fldCharType="begin"/>
            </w:r>
            <w:r w:rsidR="001575D6">
              <w:rPr>
                <w:noProof/>
                <w:webHidden/>
              </w:rPr>
              <w:instrText xml:space="preserve"> PAGEREF _Toc535066125 \h </w:instrText>
            </w:r>
            <w:r w:rsidR="001575D6">
              <w:rPr>
                <w:noProof/>
                <w:webHidden/>
              </w:rPr>
            </w:r>
            <w:r w:rsidR="001575D6">
              <w:rPr>
                <w:noProof/>
                <w:webHidden/>
              </w:rPr>
              <w:fldChar w:fldCharType="separate"/>
            </w:r>
            <w:r w:rsidR="0012104E">
              <w:rPr>
                <w:noProof/>
                <w:webHidden/>
              </w:rPr>
              <w:t>1</w:t>
            </w:r>
            <w:r w:rsidR="001575D6">
              <w:rPr>
                <w:noProof/>
                <w:webHidden/>
              </w:rPr>
              <w:fldChar w:fldCharType="end"/>
            </w:r>
          </w:hyperlink>
        </w:p>
        <w:p w14:paraId="013EF3F7" w14:textId="075B728A" w:rsidR="001575D6" w:rsidRDefault="00C94EE9">
          <w:pPr>
            <w:pStyle w:val="Sisluet2"/>
            <w:rPr>
              <w:rFonts w:asciiTheme="minorHAnsi" w:eastAsiaTheme="minorEastAsia" w:hAnsiTheme="minorHAnsi" w:cstheme="minorBidi"/>
              <w:noProof/>
              <w:sz w:val="22"/>
              <w:szCs w:val="22"/>
            </w:rPr>
          </w:pPr>
          <w:hyperlink w:anchor="_Toc535066126" w:history="1">
            <w:r w:rsidR="001575D6" w:rsidRPr="00305272">
              <w:rPr>
                <w:rStyle w:val="Hyperlinkki"/>
                <w:noProof/>
              </w:rPr>
              <w:t>2.</w:t>
            </w:r>
            <w:r w:rsidR="001575D6">
              <w:rPr>
                <w:rFonts w:asciiTheme="minorHAnsi" w:eastAsiaTheme="minorEastAsia" w:hAnsiTheme="minorHAnsi" w:cstheme="minorBidi"/>
                <w:noProof/>
                <w:sz w:val="22"/>
                <w:szCs w:val="22"/>
              </w:rPr>
              <w:tab/>
            </w:r>
            <w:r w:rsidR="001575D6" w:rsidRPr="00305272">
              <w:rPr>
                <w:rStyle w:val="Hyperlinkki"/>
                <w:noProof/>
              </w:rPr>
              <w:t>Aiheen määrittely ja rajaus</w:t>
            </w:r>
            <w:r w:rsidR="001575D6">
              <w:rPr>
                <w:noProof/>
                <w:webHidden/>
              </w:rPr>
              <w:tab/>
            </w:r>
            <w:r w:rsidR="001575D6">
              <w:rPr>
                <w:noProof/>
                <w:webHidden/>
              </w:rPr>
              <w:fldChar w:fldCharType="begin"/>
            </w:r>
            <w:r w:rsidR="001575D6">
              <w:rPr>
                <w:noProof/>
                <w:webHidden/>
              </w:rPr>
              <w:instrText xml:space="preserve"> PAGEREF _Toc535066126 \h </w:instrText>
            </w:r>
            <w:r w:rsidR="001575D6">
              <w:rPr>
                <w:noProof/>
                <w:webHidden/>
              </w:rPr>
            </w:r>
            <w:r w:rsidR="001575D6">
              <w:rPr>
                <w:noProof/>
                <w:webHidden/>
              </w:rPr>
              <w:fldChar w:fldCharType="separate"/>
            </w:r>
            <w:r w:rsidR="0012104E">
              <w:rPr>
                <w:noProof/>
                <w:webHidden/>
              </w:rPr>
              <w:t>1</w:t>
            </w:r>
            <w:r w:rsidR="001575D6">
              <w:rPr>
                <w:noProof/>
                <w:webHidden/>
              </w:rPr>
              <w:fldChar w:fldCharType="end"/>
            </w:r>
          </w:hyperlink>
        </w:p>
        <w:p w14:paraId="6721EA46" w14:textId="6827015D" w:rsidR="001575D6" w:rsidRDefault="00C94EE9">
          <w:pPr>
            <w:pStyle w:val="Sisluet3"/>
            <w:rPr>
              <w:rFonts w:asciiTheme="minorHAnsi" w:hAnsiTheme="minorHAnsi" w:cstheme="minorBidi"/>
            </w:rPr>
          </w:pPr>
          <w:hyperlink w:anchor="_Toc535066127" w:history="1">
            <w:r w:rsidR="001575D6" w:rsidRPr="00305272">
              <w:rPr>
                <w:rStyle w:val="Hyperlinkki"/>
              </w:rPr>
              <w:t>2.1.</w:t>
            </w:r>
            <w:r w:rsidR="001575D6">
              <w:rPr>
                <w:rFonts w:asciiTheme="minorHAnsi" w:hAnsiTheme="minorHAnsi" w:cstheme="minorBidi"/>
              </w:rPr>
              <w:tab/>
            </w:r>
            <w:r w:rsidR="001575D6" w:rsidRPr="00305272">
              <w:rPr>
                <w:rStyle w:val="Hyperlinkki"/>
              </w:rPr>
              <w:t>Kysymyksenasettelu; terveysongelma-interventio-parin muotoilu</w:t>
            </w:r>
            <w:r w:rsidR="001575D6">
              <w:rPr>
                <w:webHidden/>
              </w:rPr>
              <w:tab/>
            </w:r>
            <w:r w:rsidR="001575D6">
              <w:rPr>
                <w:webHidden/>
              </w:rPr>
              <w:fldChar w:fldCharType="begin"/>
            </w:r>
            <w:r w:rsidR="001575D6">
              <w:rPr>
                <w:webHidden/>
              </w:rPr>
              <w:instrText xml:space="preserve"> PAGEREF _Toc535066127 \h </w:instrText>
            </w:r>
            <w:r w:rsidR="001575D6">
              <w:rPr>
                <w:webHidden/>
              </w:rPr>
            </w:r>
            <w:r w:rsidR="001575D6">
              <w:rPr>
                <w:webHidden/>
              </w:rPr>
              <w:fldChar w:fldCharType="separate"/>
            </w:r>
            <w:r w:rsidR="0012104E">
              <w:rPr>
                <w:webHidden/>
              </w:rPr>
              <w:t>1</w:t>
            </w:r>
            <w:r w:rsidR="001575D6">
              <w:rPr>
                <w:webHidden/>
              </w:rPr>
              <w:fldChar w:fldCharType="end"/>
            </w:r>
          </w:hyperlink>
        </w:p>
        <w:p w14:paraId="1B2578FC" w14:textId="7E3A3276" w:rsidR="001575D6" w:rsidRDefault="00C94EE9">
          <w:pPr>
            <w:pStyle w:val="Sisluet2"/>
            <w:rPr>
              <w:rFonts w:asciiTheme="minorHAnsi" w:eastAsiaTheme="minorEastAsia" w:hAnsiTheme="minorHAnsi" w:cstheme="minorBidi"/>
              <w:noProof/>
              <w:sz w:val="22"/>
              <w:szCs w:val="22"/>
            </w:rPr>
          </w:pPr>
          <w:hyperlink w:anchor="_Toc535066128" w:history="1">
            <w:r w:rsidR="001575D6" w:rsidRPr="00305272">
              <w:rPr>
                <w:rStyle w:val="Hyperlinkki"/>
                <w:noProof/>
              </w:rPr>
              <w:t>3.</w:t>
            </w:r>
            <w:r w:rsidR="001575D6">
              <w:rPr>
                <w:rFonts w:asciiTheme="minorHAnsi" w:eastAsiaTheme="minorEastAsia" w:hAnsiTheme="minorHAnsi" w:cstheme="minorBidi"/>
                <w:noProof/>
                <w:sz w:val="22"/>
                <w:szCs w:val="22"/>
              </w:rPr>
              <w:tab/>
            </w:r>
            <w:r w:rsidR="001575D6" w:rsidRPr="00305272">
              <w:rPr>
                <w:rStyle w:val="Hyperlinkki"/>
                <w:noProof/>
              </w:rPr>
              <w:t>Terveysongelman vakavuus</w:t>
            </w:r>
            <w:r w:rsidR="001575D6">
              <w:rPr>
                <w:noProof/>
                <w:webHidden/>
              </w:rPr>
              <w:tab/>
            </w:r>
            <w:r w:rsidR="001575D6">
              <w:rPr>
                <w:noProof/>
                <w:webHidden/>
              </w:rPr>
              <w:fldChar w:fldCharType="begin"/>
            </w:r>
            <w:r w:rsidR="001575D6">
              <w:rPr>
                <w:noProof/>
                <w:webHidden/>
              </w:rPr>
              <w:instrText xml:space="preserve"> PAGEREF _Toc535066128 \h </w:instrText>
            </w:r>
            <w:r w:rsidR="001575D6">
              <w:rPr>
                <w:noProof/>
                <w:webHidden/>
              </w:rPr>
            </w:r>
            <w:r w:rsidR="001575D6">
              <w:rPr>
                <w:noProof/>
                <w:webHidden/>
              </w:rPr>
              <w:fldChar w:fldCharType="separate"/>
            </w:r>
            <w:r w:rsidR="0012104E">
              <w:rPr>
                <w:noProof/>
                <w:webHidden/>
              </w:rPr>
              <w:t>1</w:t>
            </w:r>
            <w:r w:rsidR="001575D6">
              <w:rPr>
                <w:noProof/>
                <w:webHidden/>
              </w:rPr>
              <w:fldChar w:fldCharType="end"/>
            </w:r>
          </w:hyperlink>
        </w:p>
        <w:p w14:paraId="079F1386" w14:textId="0AA6AA97" w:rsidR="001575D6" w:rsidRDefault="00C94EE9">
          <w:pPr>
            <w:pStyle w:val="Sisluet2"/>
            <w:rPr>
              <w:rFonts w:asciiTheme="minorHAnsi" w:eastAsiaTheme="minorEastAsia" w:hAnsiTheme="minorHAnsi" w:cstheme="minorBidi"/>
              <w:noProof/>
              <w:sz w:val="22"/>
              <w:szCs w:val="22"/>
            </w:rPr>
          </w:pPr>
          <w:hyperlink w:anchor="_Toc535066129" w:history="1">
            <w:r w:rsidR="001575D6" w:rsidRPr="00305272">
              <w:rPr>
                <w:rStyle w:val="Hyperlinkki"/>
                <w:noProof/>
              </w:rPr>
              <w:t>4.</w:t>
            </w:r>
            <w:r w:rsidR="001575D6">
              <w:rPr>
                <w:rFonts w:asciiTheme="minorHAnsi" w:eastAsiaTheme="minorEastAsia" w:hAnsiTheme="minorHAnsi" w:cstheme="minorBidi"/>
                <w:noProof/>
                <w:sz w:val="22"/>
                <w:szCs w:val="22"/>
              </w:rPr>
              <w:tab/>
            </w:r>
            <w:r w:rsidR="001575D6" w:rsidRPr="00305272">
              <w:rPr>
                <w:rStyle w:val="Hyperlinkki"/>
                <w:noProof/>
              </w:rPr>
              <w:t>Aihetta koskevat selvitykset ja suositukset</w:t>
            </w:r>
            <w:r w:rsidR="001575D6">
              <w:rPr>
                <w:noProof/>
                <w:webHidden/>
              </w:rPr>
              <w:tab/>
            </w:r>
            <w:r w:rsidR="001575D6">
              <w:rPr>
                <w:noProof/>
                <w:webHidden/>
              </w:rPr>
              <w:fldChar w:fldCharType="begin"/>
            </w:r>
            <w:r w:rsidR="001575D6">
              <w:rPr>
                <w:noProof/>
                <w:webHidden/>
              </w:rPr>
              <w:instrText xml:space="preserve"> PAGEREF _Toc535066129 \h </w:instrText>
            </w:r>
            <w:r w:rsidR="001575D6">
              <w:rPr>
                <w:noProof/>
                <w:webHidden/>
              </w:rPr>
            </w:r>
            <w:r w:rsidR="001575D6">
              <w:rPr>
                <w:noProof/>
                <w:webHidden/>
              </w:rPr>
              <w:fldChar w:fldCharType="separate"/>
            </w:r>
            <w:r w:rsidR="0012104E">
              <w:rPr>
                <w:noProof/>
                <w:webHidden/>
              </w:rPr>
              <w:t>2</w:t>
            </w:r>
            <w:r w:rsidR="001575D6">
              <w:rPr>
                <w:noProof/>
                <w:webHidden/>
              </w:rPr>
              <w:fldChar w:fldCharType="end"/>
            </w:r>
          </w:hyperlink>
        </w:p>
        <w:p w14:paraId="7CBCA317" w14:textId="4439E92F" w:rsidR="001575D6" w:rsidRDefault="00C94EE9">
          <w:pPr>
            <w:pStyle w:val="Sisluet3"/>
            <w:rPr>
              <w:rFonts w:asciiTheme="minorHAnsi" w:hAnsiTheme="minorHAnsi" w:cstheme="minorBidi"/>
            </w:rPr>
          </w:pPr>
          <w:hyperlink w:anchor="_Toc535066130" w:history="1">
            <w:r w:rsidR="001575D6" w:rsidRPr="00305272">
              <w:rPr>
                <w:rStyle w:val="Hyperlinkki"/>
              </w:rPr>
              <w:t>4.1.</w:t>
            </w:r>
            <w:r w:rsidR="001575D6">
              <w:rPr>
                <w:rFonts w:asciiTheme="minorHAnsi" w:hAnsiTheme="minorHAnsi" w:cstheme="minorBidi"/>
              </w:rPr>
              <w:tab/>
            </w:r>
            <w:r w:rsidR="001575D6" w:rsidRPr="00305272">
              <w:rPr>
                <w:rStyle w:val="Hyperlinkki"/>
              </w:rPr>
              <w:t>Selvitys/Fimean arviointiraportti tms</w:t>
            </w:r>
            <w:r w:rsidR="001575D6">
              <w:rPr>
                <w:webHidden/>
              </w:rPr>
              <w:tab/>
            </w:r>
            <w:r w:rsidR="001575D6">
              <w:rPr>
                <w:webHidden/>
              </w:rPr>
              <w:fldChar w:fldCharType="begin"/>
            </w:r>
            <w:r w:rsidR="001575D6">
              <w:rPr>
                <w:webHidden/>
              </w:rPr>
              <w:instrText xml:space="preserve"> PAGEREF _Toc535066130 \h </w:instrText>
            </w:r>
            <w:r w:rsidR="001575D6">
              <w:rPr>
                <w:webHidden/>
              </w:rPr>
            </w:r>
            <w:r w:rsidR="001575D6">
              <w:rPr>
                <w:webHidden/>
              </w:rPr>
              <w:fldChar w:fldCharType="separate"/>
            </w:r>
            <w:r w:rsidR="0012104E">
              <w:rPr>
                <w:webHidden/>
              </w:rPr>
              <w:t>2</w:t>
            </w:r>
            <w:r w:rsidR="001575D6">
              <w:rPr>
                <w:webHidden/>
              </w:rPr>
              <w:fldChar w:fldCharType="end"/>
            </w:r>
          </w:hyperlink>
        </w:p>
        <w:p w14:paraId="6BC99806" w14:textId="78BDB13F" w:rsidR="001575D6" w:rsidRDefault="00C94EE9">
          <w:pPr>
            <w:pStyle w:val="Sisluet3"/>
            <w:rPr>
              <w:rFonts w:asciiTheme="minorHAnsi" w:hAnsiTheme="minorHAnsi" w:cstheme="minorBidi"/>
            </w:rPr>
          </w:pPr>
          <w:hyperlink w:anchor="_Toc535066131" w:history="1">
            <w:r w:rsidR="001575D6" w:rsidRPr="00305272">
              <w:rPr>
                <w:rStyle w:val="Hyperlinkki"/>
              </w:rPr>
              <w:t>4.2.</w:t>
            </w:r>
            <w:r w:rsidR="001575D6">
              <w:rPr>
                <w:rFonts w:asciiTheme="minorHAnsi" w:hAnsiTheme="minorHAnsi" w:cstheme="minorBidi"/>
              </w:rPr>
              <w:tab/>
            </w:r>
            <w:r w:rsidR="001575D6" w:rsidRPr="00305272">
              <w:rPr>
                <w:rStyle w:val="Hyperlinkki"/>
              </w:rPr>
              <w:t>Kotimaiset hoitosuositukset ja selvitykset</w:t>
            </w:r>
            <w:r w:rsidR="001575D6">
              <w:rPr>
                <w:webHidden/>
              </w:rPr>
              <w:tab/>
            </w:r>
            <w:r w:rsidR="001575D6">
              <w:rPr>
                <w:webHidden/>
              </w:rPr>
              <w:fldChar w:fldCharType="begin"/>
            </w:r>
            <w:r w:rsidR="001575D6">
              <w:rPr>
                <w:webHidden/>
              </w:rPr>
              <w:instrText xml:space="preserve"> PAGEREF _Toc535066131 \h </w:instrText>
            </w:r>
            <w:r w:rsidR="001575D6">
              <w:rPr>
                <w:webHidden/>
              </w:rPr>
            </w:r>
            <w:r w:rsidR="001575D6">
              <w:rPr>
                <w:webHidden/>
              </w:rPr>
              <w:fldChar w:fldCharType="separate"/>
            </w:r>
            <w:r w:rsidR="0012104E">
              <w:rPr>
                <w:webHidden/>
              </w:rPr>
              <w:t>2</w:t>
            </w:r>
            <w:r w:rsidR="001575D6">
              <w:rPr>
                <w:webHidden/>
              </w:rPr>
              <w:fldChar w:fldCharType="end"/>
            </w:r>
          </w:hyperlink>
        </w:p>
        <w:p w14:paraId="2FDA02F6" w14:textId="50D47AE7" w:rsidR="001575D6" w:rsidRDefault="00C94EE9">
          <w:pPr>
            <w:pStyle w:val="Sisluet3"/>
            <w:rPr>
              <w:rFonts w:asciiTheme="minorHAnsi" w:hAnsiTheme="minorHAnsi" w:cstheme="minorBidi"/>
            </w:rPr>
          </w:pPr>
          <w:hyperlink w:anchor="_Toc535066132" w:history="1">
            <w:r w:rsidR="001575D6" w:rsidRPr="00305272">
              <w:rPr>
                <w:rStyle w:val="Hyperlinkki"/>
                <w:rFonts w:eastAsia="MS PGothic"/>
              </w:rPr>
              <w:t>4.3.</w:t>
            </w:r>
            <w:r w:rsidR="001575D6">
              <w:rPr>
                <w:rFonts w:asciiTheme="minorHAnsi" w:hAnsiTheme="minorHAnsi" w:cstheme="minorBidi"/>
              </w:rPr>
              <w:tab/>
            </w:r>
            <w:r w:rsidR="001575D6" w:rsidRPr="00305272">
              <w:rPr>
                <w:rStyle w:val="Hyperlinkki"/>
                <w:rFonts w:eastAsia="MS PGothic"/>
              </w:rPr>
              <w:t>Ulkomaiset hoitosuositukset ja selvitykset</w:t>
            </w:r>
            <w:r w:rsidR="001575D6">
              <w:rPr>
                <w:webHidden/>
              </w:rPr>
              <w:tab/>
            </w:r>
            <w:r w:rsidR="001575D6">
              <w:rPr>
                <w:webHidden/>
              </w:rPr>
              <w:fldChar w:fldCharType="begin"/>
            </w:r>
            <w:r w:rsidR="001575D6">
              <w:rPr>
                <w:webHidden/>
              </w:rPr>
              <w:instrText xml:space="preserve"> PAGEREF _Toc535066132 \h </w:instrText>
            </w:r>
            <w:r w:rsidR="001575D6">
              <w:rPr>
                <w:webHidden/>
              </w:rPr>
            </w:r>
            <w:r w:rsidR="001575D6">
              <w:rPr>
                <w:webHidden/>
              </w:rPr>
              <w:fldChar w:fldCharType="separate"/>
            </w:r>
            <w:r w:rsidR="0012104E">
              <w:rPr>
                <w:webHidden/>
              </w:rPr>
              <w:t>2</w:t>
            </w:r>
            <w:r w:rsidR="001575D6">
              <w:rPr>
                <w:webHidden/>
              </w:rPr>
              <w:fldChar w:fldCharType="end"/>
            </w:r>
          </w:hyperlink>
        </w:p>
        <w:p w14:paraId="59B056AE" w14:textId="5513E35C" w:rsidR="001575D6" w:rsidRDefault="00C94EE9">
          <w:pPr>
            <w:pStyle w:val="Sisluet2"/>
            <w:rPr>
              <w:rFonts w:asciiTheme="minorHAnsi" w:eastAsiaTheme="minorEastAsia" w:hAnsiTheme="minorHAnsi" w:cstheme="minorBidi"/>
              <w:noProof/>
              <w:sz w:val="22"/>
              <w:szCs w:val="22"/>
            </w:rPr>
          </w:pPr>
          <w:hyperlink w:anchor="_Toc535066133" w:history="1">
            <w:r w:rsidR="001575D6" w:rsidRPr="00305272">
              <w:rPr>
                <w:rStyle w:val="Hyperlinkki"/>
                <w:noProof/>
              </w:rPr>
              <w:t>5.</w:t>
            </w:r>
            <w:r w:rsidR="001575D6">
              <w:rPr>
                <w:rFonts w:asciiTheme="minorHAnsi" w:eastAsiaTheme="minorEastAsia" w:hAnsiTheme="minorHAnsi" w:cstheme="minorBidi"/>
                <w:noProof/>
                <w:sz w:val="22"/>
                <w:szCs w:val="22"/>
              </w:rPr>
              <w:tab/>
            </w:r>
            <w:r w:rsidR="001575D6" w:rsidRPr="00305272">
              <w:rPr>
                <w:rStyle w:val="Hyperlinkki"/>
                <w:noProof/>
              </w:rPr>
              <w:t>Intervention sisällöstä</w:t>
            </w:r>
            <w:r w:rsidR="001575D6">
              <w:rPr>
                <w:noProof/>
                <w:webHidden/>
              </w:rPr>
              <w:tab/>
            </w:r>
            <w:r w:rsidR="001575D6">
              <w:rPr>
                <w:noProof/>
                <w:webHidden/>
              </w:rPr>
              <w:fldChar w:fldCharType="begin"/>
            </w:r>
            <w:r w:rsidR="001575D6">
              <w:rPr>
                <w:noProof/>
                <w:webHidden/>
              </w:rPr>
              <w:instrText xml:space="preserve"> PAGEREF _Toc535066133 \h </w:instrText>
            </w:r>
            <w:r w:rsidR="001575D6">
              <w:rPr>
                <w:noProof/>
                <w:webHidden/>
              </w:rPr>
            </w:r>
            <w:r w:rsidR="001575D6">
              <w:rPr>
                <w:noProof/>
                <w:webHidden/>
              </w:rPr>
              <w:fldChar w:fldCharType="separate"/>
            </w:r>
            <w:r w:rsidR="0012104E">
              <w:rPr>
                <w:noProof/>
                <w:webHidden/>
              </w:rPr>
              <w:t>3</w:t>
            </w:r>
            <w:r w:rsidR="001575D6">
              <w:rPr>
                <w:noProof/>
                <w:webHidden/>
              </w:rPr>
              <w:fldChar w:fldCharType="end"/>
            </w:r>
          </w:hyperlink>
        </w:p>
        <w:p w14:paraId="5CFA3DB5" w14:textId="41F171A2" w:rsidR="001575D6" w:rsidRDefault="00C94EE9">
          <w:pPr>
            <w:pStyle w:val="Sisluet2"/>
            <w:rPr>
              <w:rFonts w:asciiTheme="minorHAnsi" w:eastAsiaTheme="minorEastAsia" w:hAnsiTheme="minorHAnsi" w:cstheme="minorBidi"/>
              <w:noProof/>
              <w:sz w:val="22"/>
              <w:szCs w:val="22"/>
            </w:rPr>
          </w:pPr>
          <w:hyperlink w:anchor="_Toc535066134" w:history="1">
            <w:r w:rsidR="001575D6" w:rsidRPr="00305272">
              <w:rPr>
                <w:rStyle w:val="Hyperlinkki"/>
                <w:noProof/>
              </w:rPr>
              <w:t>6.</w:t>
            </w:r>
            <w:r w:rsidR="001575D6">
              <w:rPr>
                <w:rFonts w:asciiTheme="minorHAnsi" w:eastAsiaTheme="minorEastAsia" w:hAnsiTheme="minorHAnsi" w:cstheme="minorBidi"/>
                <w:noProof/>
                <w:sz w:val="22"/>
                <w:szCs w:val="22"/>
              </w:rPr>
              <w:tab/>
            </w:r>
            <w:r w:rsidR="001575D6" w:rsidRPr="00305272">
              <w:rPr>
                <w:rStyle w:val="Hyperlinkki"/>
                <w:noProof/>
              </w:rPr>
              <w:t>Vaihtoehdot interventiolle</w:t>
            </w:r>
            <w:r w:rsidR="001575D6">
              <w:rPr>
                <w:noProof/>
                <w:webHidden/>
              </w:rPr>
              <w:tab/>
            </w:r>
            <w:r w:rsidR="001575D6">
              <w:rPr>
                <w:noProof/>
                <w:webHidden/>
              </w:rPr>
              <w:fldChar w:fldCharType="begin"/>
            </w:r>
            <w:r w:rsidR="001575D6">
              <w:rPr>
                <w:noProof/>
                <w:webHidden/>
              </w:rPr>
              <w:instrText xml:space="preserve"> PAGEREF _Toc535066134 \h </w:instrText>
            </w:r>
            <w:r w:rsidR="001575D6">
              <w:rPr>
                <w:noProof/>
                <w:webHidden/>
              </w:rPr>
            </w:r>
            <w:r w:rsidR="001575D6">
              <w:rPr>
                <w:noProof/>
                <w:webHidden/>
              </w:rPr>
              <w:fldChar w:fldCharType="separate"/>
            </w:r>
            <w:r w:rsidR="0012104E">
              <w:rPr>
                <w:noProof/>
                <w:webHidden/>
              </w:rPr>
              <w:t>3</w:t>
            </w:r>
            <w:r w:rsidR="001575D6">
              <w:rPr>
                <w:noProof/>
                <w:webHidden/>
              </w:rPr>
              <w:fldChar w:fldCharType="end"/>
            </w:r>
          </w:hyperlink>
        </w:p>
        <w:p w14:paraId="071E2332" w14:textId="0D16D094" w:rsidR="001575D6" w:rsidRDefault="00C94EE9">
          <w:pPr>
            <w:pStyle w:val="Sisluet2"/>
            <w:rPr>
              <w:rFonts w:asciiTheme="minorHAnsi" w:eastAsiaTheme="minorEastAsia" w:hAnsiTheme="minorHAnsi" w:cstheme="minorBidi"/>
              <w:noProof/>
              <w:sz w:val="22"/>
              <w:szCs w:val="22"/>
            </w:rPr>
          </w:pPr>
          <w:hyperlink w:anchor="_Toc535066135" w:history="1">
            <w:r w:rsidR="001575D6" w:rsidRPr="00305272">
              <w:rPr>
                <w:rStyle w:val="Hyperlinkki"/>
                <w:noProof/>
              </w:rPr>
              <w:t>7.</w:t>
            </w:r>
            <w:r w:rsidR="001575D6">
              <w:rPr>
                <w:rFonts w:asciiTheme="minorHAnsi" w:eastAsiaTheme="minorEastAsia" w:hAnsiTheme="minorHAnsi" w:cstheme="minorBidi"/>
                <w:noProof/>
                <w:sz w:val="22"/>
                <w:szCs w:val="22"/>
              </w:rPr>
              <w:tab/>
            </w:r>
            <w:r w:rsidR="001575D6" w:rsidRPr="00305272">
              <w:rPr>
                <w:rStyle w:val="Hyperlinkki"/>
                <w:noProof/>
              </w:rPr>
              <w:t>Terveysongelman ja intervention käytön yleisyys</w:t>
            </w:r>
            <w:r w:rsidR="001575D6">
              <w:rPr>
                <w:noProof/>
                <w:webHidden/>
              </w:rPr>
              <w:tab/>
            </w:r>
            <w:r w:rsidR="001575D6">
              <w:rPr>
                <w:noProof/>
                <w:webHidden/>
              </w:rPr>
              <w:fldChar w:fldCharType="begin"/>
            </w:r>
            <w:r w:rsidR="001575D6">
              <w:rPr>
                <w:noProof/>
                <w:webHidden/>
              </w:rPr>
              <w:instrText xml:space="preserve"> PAGEREF _Toc535066135 \h </w:instrText>
            </w:r>
            <w:r w:rsidR="001575D6">
              <w:rPr>
                <w:noProof/>
                <w:webHidden/>
              </w:rPr>
            </w:r>
            <w:r w:rsidR="001575D6">
              <w:rPr>
                <w:noProof/>
                <w:webHidden/>
              </w:rPr>
              <w:fldChar w:fldCharType="separate"/>
            </w:r>
            <w:r w:rsidR="0012104E">
              <w:rPr>
                <w:noProof/>
                <w:webHidden/>
              </w:rPr>
              <w:t>3</w:t>
            </w:r>
            <w:r w:rsidR="001575D6">
              <w:rPr>
                <w:noProof/>
                <w:webHidden/>
              </w:rPr>
              <w:fldChar w:fldCharType="end"/>
            </w:r>
          </w:hyperlink>
        </w:p>
        <w:p w14:paraId="2A38F1DC" w14:textId="7851412E" w:rsidR="001575D6" w:rsidRDefault="00C94EE9">
          <w:pPr>
            <w:pStyle w:val="Sisluet2"/>
            <w:rPr>
              <w:rFonts w:asciiTheme="minorHAnsi" w:eastAsiaTheme="minorEastAsia" w:hAnsiTheme="minorHAnsi" w:cstheme="minorBidi"/>
              <w:noProof/>
              <w:sz w:val="22"/>
              <w:szCs w:val="22"/>
            </w:rPr>
          </w:pPr>
          <w:hyperlink w:anchor="_Toc535066136" w:history="1">
            <w:r w:rsidR="001575D6" w:rsidRPr="00305272">
              <w:rPr>
                <w:rStyle w:val="Hyperlinkki"/>
                <w:noProof/>
              </w:rPr>
              <w:t>8.</w:t>
            </w:r>
            <w:r w:rsidR="001575D6">
              <w:rPr>
                <w:rFonts w:asciiTheme="minorHAnsi" w:eastAsiaTheme="minorEastAsia" w:hAnsiTheme="minorHAnsi" w:cstheme="minorBidi"/>
                <w:noProof/>
                <w:sz w:val="22"/>
                <w:szCs w:val="22"/>
              </w:rPr>
              <w:tab/>
            </w:r>
            <w:r w:rsidR="001575D6" w:rsidRPr="00305272">
              <w:rPr>
                <w:rStyle w:val="Hyperlinkki"/>
                <w:noProof/>
              </w:rPr>
              <w:t>Intervention vaikuttavuus</w:t>
            </w:r>
            <w:r w:rsidR="001575D6">
              <w:rPr>
                <w:noProof/>
                <w:webHidden/>
              </w:rPr>
              <w:tab/>
            </w:r>
            <w:r w:rsidR="001575D6">
              <w:rPr>
                <w:noProof/>
                <w:webHidden/>
              </w:rPr>
              <w:fldChar w:fldCharType="begin"/>
            </w:r>
            <w:r w:rsidR="001575D6">
              <w:rPr>
                <w:noProof/>
                <w:webHidden/>
              </w:rPr>
              <w:instrText xml:space="preserve"> PAGEREF _Toc535066136 \h </w:instrText>
            </w:r>
            <w:r w:rsidR="001575D6">
              <w:rPr>
                <w:noProof/>
                <w:webHidden/>
              </w:rPr>
            </w:r>
            <w:r w:rsidR="001575D6">
              <w:rPr>
                <w:noProof/>
                <w:webHidden/>
              </w:rPr>
              <w:fldChar w:fldCharType="separate"/>
            </w:r>
            <w:r w:rsidR="0012104E">
              <w:rPr>
                <w:noProof/>
                <w:webHidden/>
              </w:rPr>
              <w:t>3</w:t>
            </w:r>
            <w:r w:rsidR="001575D6">
              <w:rPr>
                <w:noProof/>
                <w:webHidden/>
              </w:rPr>
              <w:fldChar w:fldCharType="end"/>
            </w:r>
          </w:hyperlink>
        </w:p>
        <w:p w14:paraId="65A33D57" w14:textId="2842CB70" w:rsidR="001575D6" w:rsidRDefault="00C94EE9">
          <w:pPr>
            <w:pStyle w:val="Sisluet2"/>
            <w:rPr>
              <w:rFonts w:asciiTheme="minorHAnsi" w:eastAsiaTheme="minorEastAsia" w:hAnsiTheme="minorHAnsi" w:cstheme="minorBidi"/>
              <w:noProof/>
              <w:sz w:val="22"/>
              <w:szCs w:val="22"/>
            </w:rPr>
          </w:pPr>
          <w:hyperlink w:anchor="_Toc535066137" w:history="1">
            <w:r w:rsidR="001575D6" w:rsidRPr="00305272">
              <w:rPr>
                <w:rStyle w:val="Hyperlinkki"/>
                <w:noProof/>
              </w:rPr>
              <w:t>9.</w:t>
            </w:r>
            <w:r w:rsidR="001575D6">
              <w:rPr>
                <w:rFonts w:asciiTheme="minorHAnsi" w:eastAsiaTheme="minorEastAsia" w:hAnsiTheme="minorHAnsi" w:cstheme="minorBidi"/>
                <w:noProof/>
                <w:sz w:val="22"/>
                <w:szCs w:val="22"/>
              </w:rPr>
              <w:tab/>
            </w:r>
            <w:r w:rsidR="001575D6" w:rsidRPr="00305272">
              <w:rPr>
                <w:rStyle w:val="Hyperlinkki"/>
                <w:noProof/>
              </w:rPr>
              <w:t>Intervention turvallisuus</w:t>
            </w:r>
            <w:r w:rsidR="001575D6">
              <w:rPr>
                <w:noProof/>
                <w:webHidden/>
              </w:rPr>
              <w:tab/>
            </w:r>
            <w:r w:rsidR="001575D6">
              <w:rPr>
                <w:noProof/>
                <w:webHidden/>
              </w:rPr>
              <w:fldChar w:fldCharType="begin"/>
            </w:r>
            <w:r w:rsidR="001575D6">
              <w:rPr>
                <w:noProof/>
                <w:webHidden/>
              </w:rPr>
              <w:instrText xml:space="preserve"> PAGEREF _Toc535066137 \h </w:instrText>
            </w:r>
            <w:r w:rsidR="001575D6">
              <w:rPr>
                <w:noProof/>
                <w:webHidden/>
              </w:rPr>
            </w:r>
            <w:r w:rsidR="001575D6">
              <w:rPr>
                <w:noProof/>
                <w:webHidden/>
              </w:rPr>
              <w:fldChar w:fldCharType="separate"/>
            </w:r>
            <w:r w:rsidR="0012104E">
              <w:rPr>
                <w:noProof/>
                <w:webHidden/>
              </w:rPr>
              <w:t>4</w:t>
            </w:r>
            <w:r w:rsidR="001575D6">
              <w:rPr>
                <w:noProof/>
                <w:webHidden/>
              </w:rPr>
              <w:fldChar w:fldCharType="end"/>
            </w:r>
          </w:hyperlink>
        </w:p>
        <w:p w14:paraId="42752A31" w14:textId="51FCC1AA" w:rsidR="001575D6" w:rsidRDefault="00C94EE9">
          <w:pPr>
            <w:pStyle w:val="Sisluet2"/>
            <w:rPr>
              <w:rFonts w:asciiTheme="minorHAnsi" w:eastAsiaTheme="minorEastAsia" w:hAnsiTheme="minorHAnsi" w:cstheme="minorBidi"/>
              <w:noProof/>
              <w:sz w:val="22"/>
              <w:szCs w:val="22"/>
            </w:rPr>
          </w:pPr>
          <w:hyperlink w:anchor="_Toc535066138" w:history="1">
            <w:r w:rsidR="001575D6" w:rsidRPr="00305272">
              <w:rPr>
                <w:rStyle w:val="Hyperlinkki"/>
                <w:noProof/>
              </w:rPr>
              <w:t>10.</w:t>
            </w:r>
            <w:r w:rsidR="001575D6">
              <w:rPr>
                <w:rFonts w:asciiTheme="minorHAnsi" w:eastAsiaTheme="minorEastAsia" w:hAnsiTheme="minorHAnsi" w:cstheme="minorBidi"/>
                <w:noProof/>
                <w:sz w:val="22"/>
                <w:szCs w:val="22"/>
              </w:rPr>
              <w:tab/>
            </w:r>
            <w:r w:rsidR="001575D6" w:rsidRPr="00305272">
              <w:rPr>
                <w:rStyle w:val="Hyperlinkki"/>
                <w:noProof/>
              </w:rPr>
              <w:t>Intervention kustannukset ja budjettivaikutukset</w:t>
            </w:r>
            <w:r w:rsidR="001575D6">
              <w:rPr>
                <w:noProof/>
                <w:webHidden/>
              </w:rPr>
              <w:tab/>
            </w:r>
            <w:r w:rsidR="001575D6">
              <w:rPr>
                <w:noProof/>
                <w:webHidden/>
              </w:rPr>
              <w:fldChar w:fldCharType="begin"/>
            </w:r>
            <w:r w:rsidR="001575D6">
              <w:rPr>
                <w:noProof/>
                <w:webHidden/>
              </w:rPr>
              <w:instrText xml:space="preserve"> PAGEREF _Toc535066138 \h </w:instrText>
            </w:r>
            <w:r w:rsidR="001575D6">
              <w:rPr>
                <w:noProof/>
                <w:webHidden/>
              </w:rPr>
            </w:r>
            <w:r w:rsidR="001575D6">
              <w:rPr>
                <w:noProof/>
                <w:webHidden/>
              </w:rPr>
              <w:fldChar w:fldCharType="separate"/>
            </w:r>
            <w:r w:rsidR="0012104E">
              <w:rPr>
                <w:noProof/>
                <w:webHidden/>
              </w:rPr>
              <w:t>4</w:t>
            </w:r>
            <w:r w:rsidR="001575D6">
              <w:rPr>
                <w:noProof/>
                <w:webHidden/>
              </w:rPr>
              <w:fldChar w:fldCharType="end"/>
            </w:r>
          </w:hyperlink>
        </w:p>
        <w:p w14:paraId="23E06FBF" w14:textId="19668708" w:rsidR="001575D6" w:rsidRDefault="00C94EE9">
          <w:pPr>
            <w:pStyle w:val="Sisluet2"/>
            <w:rPr>
              <w:rFonts w:asciiTheme="minorHAnsi" w:eastAsiaTheme="minorEastAsia" w:hAnsiTheme="minorHAnsi" w:cstheme="minorBidi"/>
              <w:noProof/>
              <w:sz w:val="22"/>
              <w:szCs w:val="22"/>
            </w:rPr>
          </w:pPr>
          <w:hyperlink w:anchor="_Toc535066139" w:history="1">
            <w:r w:rsidR="001575D6" w:rsidRPr="00305272">
              <w:rPr>
                <w:rStyle w:val="Hyperlinkki"/>
                <w:noProof/>
              </w:rPr>
              <w:t>11.</w:t>
            </w:r>
            <w:r w:rsidR="001575D6">
              <w:rPr>
                <w:rFonts w:asciiTheme="minorHAnsi" w:eastAsiaTheme="minorEastAsia" w:hAnsiTheme="minorHAnsi" w:cstheme="minorBidi"/>
                <w:noProof/>
                <w:sz w:val="22"/>
                <w:szCs w:val="22"/>
              </w:rPr>
              <w:tab/>
            </w:r>
            <w:r w:rsidR="001575D6" w:rsidRPr="00305272">
              <w:rPr>
                <w:rStyle w:val="Hyperlinkki"/>
                <w:noProof/>
              </w:rPr>
              <w:t>Intervention kustannusvaikuttavuus</w:t>
            </w:r>
            <w:r w:rsidR="001575D6">
              <w:rPr>
                <w:noProof/>
                <w:webHidden/>
              </w:rPr>
              <w:tab/>
            </w:r>
            <w:r w:rsidR="001575D6">
              <w:rPr>
                <w:noProof/>
                <w:webHidden/>
              </w:rPr>
              <w:fldChar w:fldCharType="begin"/>
            </w:r>
            <w:r w:rsidR="001575D6">
              <w:rPr>
                <w:noProof/>
                <w:webHidden/>
              </w:rPr>
              <w:instrText xml:space="preserve"> PAGEREF _Toc535066139 \h </w:instrText>
            </w:r>
            <w:r w:rsidR="001575D6">
              <w:rPr>
                <w:noProof/>
                <w:webHidden/>
              </w:rPr>
            </w:r>
            <w:r w:rsidR="001575D6">
              <w:rPr>
                <w:noProof/>
                <w:webHidden/>
              </w:rPr>
              <w:fldChar w:fldCharType="separate"/>
            </w:r>
            <w:r w:rsidR="0012104E">
              <w:rPr>
                <w:noProof/>
                <w:webHidden/>
              </w:rPr>
              <w:t>5</w:t>
            </w:r>
            <w:r w:rsidR="001575D6">
              <w:rPr>
                <w:noProof/>
                <w:webHidden/>
              </w:rPr>
              <w:fldChar w:fldCharType="end"/>
            </w:r>
          </w:hyperlink>
        </w:p>
        <w:p w14:paraId="742BB2F9" w14:textId="6593D0DB" w:rsidR="001575D6" w:rsidRDefault="00C94EE9">
          <w:pPr>
            <w:pStyle w:val="Sisluet2"/>
            <w:rPr>
              <w:rFonts w:asciiTheme="minorHAnsi" w:eastAsiaTheme="minorEastAsia" w:hAnsiTheme="minorHAnsi" w:cstheme="minorBidi"/>
              <w:noProof/>
              <w:sz w:val="22"/>
              <w:szCs w:val="22"/>
            </w:rPr>
          </w:pPr>
          <w:hyperlink w:anchor="_Toc535066140" w:history="1">
            <w:r w:rsidR="001575D6" w:rsidRPr="00305272">
              <w:rPr>
                <w:rStyle w:val="Hyperlinkki"/>
                <w:noProof/>
              </w:rPr>
              <w:t>12.</w:t>
            </w:r>
            <w:r w:rsidR="001575D6">
              <w:rPr>
                <w:rFonts w:asciiTheme="minorHAnsi" w:eastAsiaTheme="minorEastAsia" w:hAnsiTheme="minorHAnsi" w:cstheme="minorBidi"/>
                <w:noProof/>
                <w:sz w:val="22"/>
                <w:szCs w:val="22"/>
              </w:rPr>
              <w:tab/>
            </w:r>
            <w:r w:rsidR="001575D6" w:rsidRPr="00305272">
              <w:rPr>
                <w:rStyle w:val="Hyperlinkki"/>
                <w:noProof/>
              </w:rPr>
              <w:t>Eettinen tarkastelu</w:t>
            </w:r>
            <w:r w:rsidR="001575D6">
              <w:rPr>
                <w:noProof/>
                <w:webHidden/>
              </w:rPr>
              <w:tab/>
            </w:r>
            <w:r w:rsidR="001575D6">
              <w:rPr>
                <w:noProof/>
                <w:webHidden/>
              </w:rPr>
              <w:fldChar w:fldCharType="begin"/>
            </w:r>
            <w:r w:rsidR="001575D6">
              <w:rPr>
                <w:noProof/>
                <w:webHidden/>
              </w:rPr>
              <w:instrText xml:space="preserve"> PAGEREF _Toc535066140 \h </w:instrText>
            </w:r>
            <w:r w:rsidR="001575D6">
              <w:rPr>
                <w:noProof/>
                <w:webHidden/>
              </w:rPr>
            </w:r>
            <w:r w:rsidR="001575D6">
              <w:rPr>
                <w:noProof/>
                <w:webHidden/>
              </w:rPr>
              <w:fldChar w:fldCharType="separate"/>
            </w:r>
            <w:r w:rsidR="0012104E">
              <w:rPr>
                <w:noProof/>
                <w:webHidden/>
              </w:rPr>
              <w:t>6</w:t>
            </w:r>
            <w:r w:rsidR="001575D6">
              <w:rPr>
                <w:noProof/>
                <w:webHidden/>
              </w:rPr>
              <w:fldChar w:fldCharType="end"/>
            </w:r>
          </w:hyperlink>
        </w:p>
        <w:p w14:paraId="4B7DEA53" w14:textId="4D0B8D25" w:rsidR="001575D6" w:rsidRDefault="00C94EE9">
          <w:pPr>
            <w:pStyle w:val="Sisluet2"/>
            <w:rPr>
              <w:rFonts w:asciiTheme="minorHAnsi" w:eastAsiaTheme="minorEastAsia" w:hAnsiTheme="minorHAnsi" w:cstheme="minorBidi"/>
              <w:noProof/>
              <w:sz w:val="22"/>
              <w:szCs w:val="22"/>
            </w:rPr>
          </w:pPr>
          <w:hyperlink w:anchor="_Toc535066141" w:history="1">
            <w:r w:rsidR="001575D6" w:rsidRPr="00305272">
              <w:rPr>
                <w:rStyle w:val="Hyperlinkki"/>
                <w:noProof/>
              </w:rPr>
              <w:t>13.</w:t>
            </w:r>
            <w:r w:rsidR="001575D6">
              <w:rPr>
                <w:rFonts w:asciiTheme="minorHAnsi" w:eastAsiaTheme="minorEastAsia" w:hAnsiTheme="minorHAnsi" w:cstheme="minorBidi"/>
                <w:noProof/>
                <w:sz w:val="22"/>
                <w:szCs w:val="22"/>
              </w:rPr>
              <w:tab/>
            </w:r>
            <w:r w:rsidR="001575D6" w:rsidRPr="00305272">
              <w:rPr>
                <w:rStyle w:val="Hyperlinkki"/>
                <w:noProof/>
              </w:rPr>
              <w:t>Intervention kohdentaminen ja poikkeaminen palveluvalikoimasta</w:t>
            </w:r>
            <w:r w:rsidR="001575D6">
              <w:rPr>
                <w:noProof/>
                <w:webHidden/>
              </w:rPr>
              <w:tab/>
            </w:r>
            <w:r w:rsidR="001575D6">
              <w:rPr>
                <w:noProof/>
                <w:webHidden/>
              </w:rPr>
              <w:fldChar w:fldCharType="begin"/>
            </w:r>
            <w:r w:rsidR="001575D6">
              <w:rPr>
                <w:noProof/>
                <w:webHidden/>
              </w:rPr>
              <w:instrText xml:space="preserve"> PAGEREF _Toc535066141 \h </w:instrText>
            </w:r>
            <w:r w:rsidR="001575D6">
              <w:rPr>
                <w:noProof/>
                <w:webHidden/>
              </w:rPr>
            </w:r>
            <w:r w:rsidR="001575D6">
              <w:rPr>
                <w:noProof/>
                <w:webHidden/>
              </w:rPr>
              <w:fldChar w:fldCharType="separate"/>
            </w:r>
            <w:r w:rsidR="0012104E">
              <w:rPr>
                <w:noProof/>
                <w:webHidden/>
              </w:rPr>
              <w:t>7</w:t>
            </w:r>
            <w:r w:rsidR="001575D6">
              <w:rPr>
                <w:noProof/>
                <w:webHidden/>
              </w:rPr>
              <w:fldChar w:fldCharType="end"/>
            </w:r>
          </w:hyperlink>
        </w:p>
        <w:p w14:paraId="38935356" w14:textId="5EBCA1BE" w:rsidR="001575D6" w:rsidRDefault="00C94EE9">
          <w:pPr>
            <w:pStyle w:val="Sisluet2"/>
            <w:rPr>
              <w:rFonts w:asciiTheme="minorHAnsi" w:eastAsiaTheme="minorEastAsia" w:hAnsiTheme="minorHAnsi" w:cstheme="minorBidi"/>
              <w:noProof/>
              <w:sz w:val="22"/>
              <w:szCs w:val="22"/>
            </w:rPr>
          </w:pPr>
          <w:hyperlink w:anchor="_Toc535066142" w:history="1">
            <w:r w:rsidR="001575D6" w:rsidRPr="00305272">
              <w:rPr>
                <w:rStyle w:val="Hyperlinkki"/>
                <w:noProof/>
              </w:rPr>
              <w:t>14.</w:t>
            </w:r>
            <w:r w:rsidR="001575D6">
              <w:rPr>
                <w:rFonts w:asciiTheme="minorHAnsi" w:eastAsiaTheme="minorEastAsia" w:hAnsiTheme="minorHAnsi" w:cstheme="minorBidi"/>
                <w:noProof/>
                <w:sz w:val="22"/>
                <w:szCs w:val="22"/>
              </w:rPr>
              <w:tab/>
            </w:r>
            <w:r w:rsidR="001575D6" w:rsidRPr="00305272">
              <w:rPr>
                <w:rStyle w:val="Hyperlinkki"/>
                <w:noProof/>
              </w:rPr>
              <w:t>Lisänäytön kerääminen ja suosituksen vaikutusten seuranta</w:t>
            </w:r>
            <w:r w:rsidR="001575D6">
              <w:rPr>
                <w:noProof/>
                <w:webHidden/>
              </w:rPr>
              <w:tab/>
            </w:r>
            <w:r w:rsidR="001575D6">
              <w:rPr>
                <w:noProof/>
                <w:webHidden/>
              </w:rPr>
              <w:fldChar w:fldCharType="begin"/>
            </w:r>
            <w:r w:rsidR="001575D6">
              <w:rPr>
                <w:noProof/>
                <w:webHidden/>
              </w:rPr>
              <w:instrText xml:space="preserve"> PAGEREF _Toc535066142 \h </w:instrText>
            </w:r>
            <w:r w:rsidR="001575D6">
              <w:rPr>
                <w:noProof/>
                <w:webHidden/>
              </w:rPr>
            </w:r>
            <w:r w:rsidR="001575D6">
              <w:rPr>
                <w:noProof/>
                <w:webHidden/>
              </w:rPr>
              <w:fldChar w:fldCharType="separate"/>
            </w:r>
            <w:r w:rsidR="0012104E">
              <w:rPr>
                <w:noProof/>
                <w:webHidden/>
              </w:rPr>
              <w:t>7</w:t>
            </w:r>
            <w:r w:rsidR="001575D6">
              <w:rPr>
                <w:noProof/>
                <w:webHidden/>
              </w:rPr>
              <w:fldChar w:fldCharType="end"/>
            </w:r>
          </w:hyperlink>
        </w:p>
        <w:p w14:paraId="06F0D446" w14:textId="45757CFE" w:rsidR="001575D6" w:rsidRDefault="00C94EE9">
          <w:pPr>
            <w:pStyle w:val="Sisluet2"/>
            <w:rPr>
              <w:rFonts w:asciiTheme="minorHAnsi" w:eastAsiaTheme="minorEastAsia" w:hAnsiTheme="minorHAnsi" w:cstheme="minorBidi"/>
              <w:noProof/>
              <w:sz w:val="22"/>
              <w:szCs w:val="22"/>
            </w:rPr>
          </w:pPr>
          <w:hyperlink w:anchor="_Toc535066143" w:history="1">
            <w:r w:rsidR="001575D6" w:rsidRPr="00305272">
              <w:rPr>
                <w:rStyle w:val="Hyperlinkki"/>
                <w:noProof/>
              </w:rPr>
              <w:t>15.</w:t>
            </w:r>
            <w:r w:rsidR="001575D6">
              <w:rPr>
                <w:rFonts w:asciiTheme="minorHAnsi" w:eastAsiaTheme="minorEastAsia" w:hAnsiTheme="minorHAnsi" w:cstheme="minorBidi"/>
                <w:noProof/>
                <w:sz w:val="22"/>
                <w:szCs w:val="22"/>
              </w:rPr>
              <w:tab/>
            </w:r>
            <w:r w:rsidR="001575D6" w:rsidRPr="00305272">
              <w:rPr>
                <w:rStyle w:val="Hyperlinkki"/>
                <w:noProof/>
              </w:rPr>
              <w:t>Johtopäätökset</w:t>
            </w:r>
            <w:r w:rsidR="001575D6">
              <w:rPr>
                <w:noProof/>
                <w:webHidden/>
              </w:rPr>
              <w:tab/>
            </w:r>
            <w:r w:rsidR="001575D6">
              <w:rPr>
                <w:noProof/>
                <w:webHidden/>
              </w:rPr>
              <w:fldChar w:fldCharType="begin"/>
            </w:r>
            <w:r w:rsidR="001575D6">
              <w:rPr>
                <w:noProof/>
                <w:webHidden/>
              </w:rPr>
              <w:instrText xml:space="preserve"> PAGEREF _Toc535066143 \h </w:instrText>
            </w:r>
            <w:r w:rsidR="001575D6">
              <w:rPr>
                <w:noProof/>
                <w:webHidden/>
              </w:rPr>
            </w:r>
            <w:r w:rsidR="001575D6">
              <w:rPr>
                <w:noProof/>
                <w:webHidden/>
              </w:rPr>
              <w:fldChar w:fldCharType="separate"/>
            </w:r>
            <w:r w:rsidR="0012104E">
              <w:rPr>
                <w:noProof/>
                <w:webHidden/>
              </w:rPr>
              <w:t>8</w:t>
            </w:r>
            <w:r w:rsidR="001575D6">
              <w:rPr>
                <w:noProof/>
                <w:webHidden/>
              </w:rPr>
              <w:fldChar w:fldCharType="end"/>
            </w:r>
          </w:hyperlink>
        </w:p>
        <w:p w14:paraId="600C4696" w14:textId="45442A8E" w:rsidR="001575D6" w:rsidRDefault="00C94EE9">
          <w:pPr>
            <w:pStyle w:val="Sisluet2"/>
            <w:rPr>
              <w:rFonts w:asciiTheme="minorHAnsi" w:eastAsiaTheme="minorEastAsia" w:hAnsiTheme="minorHAnsi" w:cstheme="minorBidi"/>
              <w:noProof/>
              <w:sz w:val="22"/>
              <w:szCs w:val="22"/>
            </w:rPr>
          </w:pPr>
          <w:hyperlink w:anchor="_Toc535066144" w:history="1">
            <w:r w:rsidR="001575D6" w:rsidRPr="00305272">
              <w:rPr>
                <w:rStyle w:val="Hyperlinkki"/>
                <w:noProof/>
              </w:rPr>
              <w:t>16.</w:t>
            </w:r>
            <w:r w:rsidR="001575D6">
              <w:rPr>
                <w:rFonts w:asciiTheme="minorHAnsi" w:eastAsiaTheme="minorEastAsia" w:hAnsiTheme="minorHAnsi" w:cstheme="minorBidi"/>
                <w:noProof/>
                <w:sz w:val="22"/>
                <w:szCs w:val="22"/>
              </w:rPr>
              <w:tab/>
            </w:r>
            <w:r w:rsidR="001575D6" w:rsidRPr="00305272">
              <w:rPr>
                <w:rStyle w:val="Hyperlinkki"/>
                <w:noProof/>
              </w:rPr>
              <w:t>Palkon suosituslause</w:t>
            </w:r>
            <w:r w:rsidR="001575D6">
              <w:rPr>
                <w:noProof/>
                <w:webHidden/>
              </w:rPr>
              <w:tab/>
            </w:r>
            <w:r w:rsidR="001575D6">
              <w:rPr>
                <w:noProof/>
                <w:webHidden/>
              </w:rPr>
              <w:fldChar w:fldCharType="begin"/>
            </w:r>
            <w:r w:rsidR="001575D6">
              <w:rPr>
                <w:noProof/>
                <w:webHidden/>
              </w:rPr>
              <w:instrText xml:space="preserve"> PAGEREF _Toc535066144 \h </w:instrText>
            </w:r>
            <w:r w:rsidR="001575D6">
              <w:rPr>
                <w:noProof/>
                <w:webHidden/>
              </w:rPr>
            </w:r>
            <w:r w:rsidR="001575D6">
              <w:rPr>
                <w:noProof/>
                <w:webHidden/>
              </w:rPr>
              <w:fldChar w:fldCharType="separate"/>
            </w:r>
            <w:r w:rsidR="0012104E">
              <w:rPr>
                <w:noProof/>
                <w:webHidden/>
              </w:rPr>
              <w:t>10</w:t>
            </w:r>
            <w:r w:rsidR="001575D6">
              <w:rPr>
                <w:noProof/>
                <w:webHidden/>
              </w:rPr>
              <w:fldChar w:fldCharType="end"/>
            </w:r>
          </w:hyperlink>
        </w:p>
        <w:p w14:paraId="51FCDB6E" w14:textId="0EAF2907" w:rsidR="001575D6" w:rsidRDefault="00C94EE9">
          <w:pPr>
            <w:pStyle w:val="Sisluet2"/>
            <w:rPr>
              <w:rFonts w:asciiTheme="minorHAnsi" w:eastAsiaTheme="minorEastAsia" w:hAnsiTheme="minorHAnsi" w:cstheme="minorBidi"/>
              <w:noProof/>
              <w:sz w:val="22"/>
              <w:szCs w:val="22"/>
            </w:rPr>
          </w:pPr>
          <w:hyperlink w:anchor="_Toc535066145" w:history="1">
            <w:r w:rsidR="001575D6" w:rsidRPr="00305272">
              <w:rPr>
                <w:rStyle w:val="Hyperlinkki"/>
                <w:noProof/>
              </w:rPr>
              <w:t>Liite 1. Suosituksen valmistelun vaiheet</w:t>
            </w:r>
            <w:r w:rsidR="001575D6">
              <w:rPr>
                <w:noProof/>
                <w:webHidden/>
              </w:rPr>
              <w:tab/>
            </w:r>
            <w:r w:rsidR="001575D6">
              <w:rPr>
                <w:noProof/>
                <w:webHidden/>
              </w:rPr>
              <w:fldChar w:fldCharType="begin"/>
            </w:r>
            <w:r w:rsidR="001575D6">
              <w:rPr>
                <w:noProof/>
                <w:webHidden/>
              </w:rPr>
              <w:instrText xml:space="preserve"> PAGEREF _Toc535066145 \h </w:instrText>
            </w:r>
            <w:r w:rsidR="001575D6">
              <w:rPr>
                <w:noProof/>
                <w:webHidden/>
              </w:rPr>
            </w:r>
            <w:r w:rsidR="001575D6">
              <w:rPr>
                <w:noProof/>
                <w:webHidden/>
              </w:rPr>
              <w:fldChar w:fldCharType="separate"/>
            </w:r>
            <w:r w:rsidR="0012104E">
              <w:rPr>
                <w:noProof/>
                <w:webHidden/>
              </w:rPr>
              <w:t>10</w:t>
            </w:r>
            <w:r w:rsidR="001575D6">
              <w:rPr>
                <w:noProof/>
                <w:webHidden/>
              </w:rPr>
              <w:fldChar w:fldCharType="end"/>
            </w:r>
          </w:hyperlink>
        </w:p>
        <w:p w14:paraId="6C7AFD39" w14:textId="57AA46A7" w:rsidR="001575D6" w:rsidRDefault="00C94EE9">
          <w:pPr>
            <w:pStyle w:val="Sisluet2"/>
            <w:rPr>
              <w:rFonts w:asciiTheme="minorHAnsi" w:eastAsiaTheme="minorEastAsia" w:hAnsiTheme="minorHAnsi" w:cstheme="minorBidi"/>
              <w:noProof/>
              <w:sz w:val="22"/>
              <w:szCs w:val="22"/>
            </w:rPr>
          </w:pPr>
          <w:hyperlink w:anchor="_Toc535066146" w:history="1">
            <w:r w:rsidR="001575D6" w:rsidRPr="00305272">
              <w:rPr>
                <w:rStyle w:val="Hyperlinkki"/>
                <w:noProof/>
              </w:rPr>
              <w:t>Liite 2. Lähteet</w:t>
            </w:r>
            <w:r w:rsidR="001575D6">
              <w:rPr>
                <w:noProof/>
                <w:webHidden/>
              </w:rPr>
              <w:tab/>
            </w:r>
            <w:r w:rsidR="001575D6">
              <w:rPr>
                <w:noProof/>
                <w:webHidden/>
              </w:rPr>
              <w:fldChar w:fldCharType="begin"/>
            </w:r>
            <w:r w:rsidR="001575D6">
              <w:rPr>
                <w:noProof/>
                <w:webHidden/>
              </w:rPr>
              <w:instrText xml:space="preserve"> PAGEREF _Toc535066146 \h </w:instrText>
            </w:r>
            <w:r w:rsidR="001575D6">
              <w:rPr>
                <w:noProof/>
                <w:webHidden/>
              </w:rPr>
            </w:r>
            <w:r w:rsidR="001575D6">
              <w:rPr>
                <w:noProof/>
                <w:webHidden/>
              </w:rPr>
              <w:fldChar w:fldCharType="separate"/>
            </w:r>
            <w:r w:rsidR="0012104E">
              <w:rPr>
                <w:noProof/>
                <w:webHidden/>
              </w:rPr>
              <w:t>10</w:t>
            </w:r>
            <w:r w:rsidR="001575D6">
              <w:rPr>
                <w:noProof/>
                <w:webHidden/>
              </w:rPr>
              <w:fldChar w:fldCharType="end"/>
            </w:r>
          </w:hyperlink>
        </w:p>
        <w:p w14:paraId="7EE1B4D3" w14:textId="1B64AB22" w:rsidR="00363CC9" w:rsidRDefault="00363CC9">
          <w:r>
            <w:rPr>
              <w:b/>
              <w:bCs/>
            </w:rPr>
            <w:fldChar w:fldCharType="end"/>
          </w:r>
        </w:p>
      </w:sdtContent>
    </w:sdt>
    <w:p w14:paraId="27022760" w14:textId="34C51B26" w:rsidR="00953BC8" w:rsidRPr="00734C2A" w:rsidRDefault="00953BC8" w:rsidP="00734C2A">
      <w:pPr>
        <w:rPr>
          <w:rFonts w:cs="Times New Roman"/>
        </w:rPr>
        <w:sectPr w:rsidR="00953BC8" w:rsidRPr="00734C2A" w:rsidSect="00BD7F5D">
          <w:headerReference w:type="even" r:id="rId12"/>
          <w:headerReference w:type="default" r:id="rId13"/>
          <w:footerReference w:type="even" r:id="rId14"/>
          <w:footerReference w:type="default" r:id="rId15"/>
          <w:headerReference w:type="first" r:id="rId16"/>
          <w:footerReference w:type="first" r:id="rId17"/>
          <w:pgSz w:w="11906" w:h="16838"/>
          <w:pgMar w:top="1417" w:right="1134" w:bottom="1417" w:left="1134" w:header="708" w:footer="708" w:gutter="0"/>
          <w:pgNumType w:start="1"/>
          <w:cols w:space="708"/>
          <w:docGrid w:linePitch="360"/>
        </w:sectPr>
      </w:pPr>
    </w:p>
    <w:p w14:paraId="7EE1B4D5" w14:textId="77777777" w:rsidR="00122E73" w:rsidRPr="00122E73" w:rsidRDefault="00122E73" w:rsidP="00E0652B">
      <w:pPr>
        <w:pStyle w:val="Otsikko2"/>
      </w:pPr>
      <w:bookmarkStart w:id="0" w:name="_Toc478461250"/>
      <w:bookmarkStart w:id="1" w:name="_Toc496005779"/>
      <w:bookmarkStart w:id="2" w:name="_Toc535066125"/>
      <w:r w:rsidRPr="00122E73">
        <w:lastRenderedPageBreak/>
        <w:t>Taustaa, perusteet suosituksen laatimiseen</w:t>
      </w:r>
      <w:bookmarkEnd w:id="0"/>
      <w:bookmarkEnd w:id="1"/>
      <w:bookmarkEnd w:id="2"/>
    </w:p>
    <w:p w14:paraId="7EE1B4D6" w14:textId="77777777" w:rsidR="00122E73" w:rsidRPr="00122E73" w:rsidRDefault="00122E73" w:rsidP="00122E73"/>
    <w:p w14:paraId="41540B3F" w14:textId="66AAC1FA" w:rsidR="00B4720B" w:rsidRDefault="00B4720B" w:rsidP="001C7825">
      <w:pPr>
        <w:ind w:left="2608"/>
      </w:pPr>
      <w:r>
        <w:rPr>
          <w:rFonts w:eastAsia="MS PGothic" w:cs="Times New Roman"/>
        </w:rPr>
        <w:t>Terveydenhuollon palveluvalikoimaneuvoston tehtävänä on antaa suosituksia siitä, mitkä palvelut kuuluvat terveydenhuollon palveluvalikoimaan (</w:t>
      </w:r>
      <w:r>
        <w:t xml:space="preserve">Terveydenhuoltolaki 1202/2013). Tämä suositus ja perustelumuistio käsittelevät </w:t>
      </w:r>
      <w:proofErr w:type="spellStart"/>
      <w:r>
        <w:t>t</w:t>
      </w:r>
      <w:r w:rsidRPr="00B4720B">
        <w:t>isagenlekleuseeli</w:t>
      </w:r>
      <w:r>
        <w:t>a</w:t>
      </w:r>
      <w:proofErr w:type="spellEnd"/>
      <w:r w:rsidRPr="00B4720B">
        <w:t xml:space="preserve"> (</w:t>
      </w:r>
      <w:r w:rsidR="009D1D79">
        <w:t>kauppanimi</w:t>
      </w:r>
      <w:r w:rsidRPr="00B4720B">
        <w:t xml:space="preserve"> </w:t>
      </w:r>
      <w:proofErr w:type="spellStart"/>
      <w:r w:rsidRPr="00B4720B">
        <w:t>Kymriah</w:t>
      </w:r>
      <w:proofErr w:type="spellEnd"/>
      <w:r w:rsidR="00BA0CCF" w:rsidRPr="00BA0CCF">
        <w:rPr>
          <w:rFonts w:cs="Times New Roman"/>
          <w:vertAlign w:val="superscript"/>
        </w:rPr>
        <w:t>®</w:t>
      </w:r>
      <w:r w:rsidRPr="00B4720B">
        <w:t>)</w:t>
      </w:r>
      <w:r>
        <w:t xml:space="preserve"> B-solulinjan akuutin </w:t>
      </w:r>
      <w:proofErr w:type="spellStart"/>
      <w:r>
        <w:t>lymfoblastisen</w:t>
      </w:r>
      <w:proofErr w:type="spellEnd"/>
      <w:r>
        <w:t xml:space="preserve"> leukemian (B-solulinjan ALL) hoidossa. </w:t>
      </w:r>
      <w:proofErr w:type="spellStart"/>
      <w:r w:rsidR="009D1D79">
        <w:t>tisagenlekleuseeli</w:t>
      </w:r>
      <w:proofErr w:type="spellEnd"/>
      <w:r>
        <w:t>-hoidosta, kyseisissä käyttöaiheissa, ei ole annettu aiempaa Terveydenhuollon palveluvaliko</w:t>
      </w:r>
      <w:r w:rsidR="00531B8C">
        <w:t>i</w:t>
      </w:r>
      <w:r>
        <w:t>maneuvoston suositusta.</w:t>
      </w:r>
    </w:p>
    <w:p w14:paraId="504036B1" w14:textId="77777777" w:rsidR="00B4720B" w:rsidRDefault="00B4720B" w:rsidP="00B4720B">
      <w:pPr>
        <w:ind w:left="2608"/>
      </w:pPr>
    </w:p>
    <w:p w14:paraId="579E68BB" w14:textId="076A133E" w:rsidR="00B4720B" w:rsidRDefault="00B4720B" w:rsidP="001C7825">
      <w:pPr>
        <w:ind w:left="2608"/>
      </w:pPr>
      <w:r>
        <w:t xml:space="preserve">Palkon suositus perustuu </w:t>
      </w:r>
      <w:proofErr w:type="spellStart"/>
      <w:r>
        <w:t>Fimean</w:t>
      </w:r>
      <w:proofErr w:type="spellEnd"/>
      <w:r>
        <w:t xml:space="preserve"> tuottamaan arviointiraporttiin, joka on julkaistu 30.11.2018. </w:t>
      </w:r>
      <w:r>
        <w:rPr>
          <w:rFonts w:eastAsia="MS PGothic" w:cs="Times New Roman"/>
        </w:rPr>
        <w:t xml:space="preserve">Yksi </w:t>
      </w:r>
      <w:proofErr w:type="spellStart"/>
      <w:r>
        <w:rPr>
          <w:rFonts w:eastAsia="MS PGothic" w:cs="Times New Roman"/>
        </w:rPr>
        <w:t>Fimean</w:t>
      </w:r>
      <w:proofErr w:type="spellEnd"/>
      <w:r>
        <w:rPr>
          <w:rFonts w:eastAsia="MS PGothic" w:cs="Times New Roman"/>
        </w:rPr>
        <w:t xml:space="preserve"> tehtävistä on tuottaa ja koota lääkehoitojen hoidollisen ja taloudellisen arvon arviointeja ja koordinoida tätä koskevaa yhteistyötä (Laki Lääkealan turvallisuus- ja kehittämiskeskuksesta 593/2009). </w:t>
      </w:r>
    </w:p>
    <w:p w14:paraId="7EE1B4DE" w14:textId="7760E6B7" w:rsidR="00B46C96" w:rsidRPr="00B46C96" w:rsidRDefault="00B46C96" w:rsidP="00B46C96">
      <w:pPr>
        <w:ind w:left="2608"/>
        <w:rPr>
          <w:rFonts w:eastAsia="MS PGothic" w:cs="Times New Roman"/>
        </w:rPr>
      </w:pPr>
    </w:p>
    <w:p w14:paraId="7EE1B4DF" w14:textId="77777777" w:rsidR="00B46C96" w:rsidRPr="00B46C96" w:rsidRDefault="00B46C96" w:rsidP="00B46C96">
      <w:pPr>
        <w:ind w:left="2608"/>
        <w:rPr>
          <w:rFonts w:eastAsia="MS PGothic" w:cs="Times New Roman"/>
        </w:rPr>
      </w:pPr>
    </w:p>
    <w:p w14:paraId="7EE1B4E0" w14:textId="77777777" w:rsidR="00122E73" w:rsidRPr="00122E73" w:rsidRDefault="00122E73" w:rsidP="00E0652B">
      <w:pPr>
        <w:pStyle w:val="Otsikko2"/>
      </w:pPr>
      <w:bookmarkStart w:id="3" w:name="_Toc478461251"/>
      <w:bookmarkStart w:id="4" w:name="_Toc496005780"/>
      <w:bookmarkStart w:id="5" w:name="_Toc535066126"/>
      <w:r w:rsidRPr="00122E73">
        <w:t>Aiheen määrittely ja rajaus</w:t>
      </w:r>
      <w:bookmarkEnd w:id="3"/>
      <w:bookmarkEnd w:id="4"/>
      <w:bookmarkEnd w:id="5"/>
    </w:p>
    <w:p w14:paraId="2FD3AEF3" w14:textId="77777777" w:rsidR="00B4720B" w:rsidRDefault="00122E73" w:rsidP="00E0652B">
      <w:pPr>
        <w:pStyle w:val="Otsikko3"/>
      </w:pPr>
      <w:bookmarkStart w:id="6" w:name="_Toc478461252"/>
      <w:bookmarkStart w:id="7" w:name="_Toc496005781"/>
      <w:bookmarkStart w:id="8" w:name="_Toc535066127"/>
      <w:r w:rsidRPr="00122E73">
        <w:t>Kysymyksenasettelu; terveysongelma-interventio-parin muotoilu</w:t>
      </w:r>
      <w:bookmarkEnd w:id="6"/>
      <w:bookmarkEnd w:id="7"/>
      <w:bookmarkEnd w:id="8"/>
    </w:p>
    <w:p w14:paraId="7EE1B4E3" w14:textId="77777777" w:rsidR="00B46C96" w:rsidRDefault="00B46C96" w:rsidP="003629D9">
      <w:pPr>
        <w:pStyle w:val="Otsikko4"/>
      </w:pPr>
      <w:bookmarkStart w:id="9" w:name="_Toc495920256"/>
      <w:r w:rsidRPr="00B46C96">
        <w:t>Terveysongelma</w:t>
      </w:r>
      <w:bookmarkEnd w:id="9"/>
    </w:p>
    <w:p w14:paraId="071AAFA0" w14:textId="77777777" w:rsidR="00B4720B" w:rsidRDefault="00B4720B" w:rsidP="00B4720B"/>
    <w:p w14:paraId="0B8D543C" w14:textId="1241F235" w:rsidR="00776576" w:rsidRDefault="009D1D79" w:rsidP="001C7825">
      <w:pPr>
        <w:ind w:left="2608"/>
      </w:pPr>
      <w:proofErr w:type="spellStart"/>
      <w:r>
        <w:t>Tisagenlekleuseeli</w:t>
      </w:r>
      <w:proofErr w:type="spellEnd"/>
      <w:r>
        <w:t xml:space="preserve">-lääkkeen </w:t>
      </w:r>
      <w:r w:rsidR="00734C2A">
        <w:t>myyntiluvan mukainen käyttöaihe on</w:t>
      </w:r>
      <w:r w:rsidR="00A44912">
        <w:t xml:space="preserve"> </w:t>
      </w:r>
      <w:r w:rsidR="00734C2A">
        <w:t xml:space="preserve">B-solulinjan akuutti </w:t>
      </w:r>
      <w:proofErr w:type="spellStart"/>
      <w:r w:rsidR="00734C2A">
        <w:t>lymfoblastinen</w:t>
      </w:r>
      <w:proofErr w:type="spellEnd"/>
      <w:r w:rsidR="00734C2A">
        <w:t xml:space="preserve"> leukemia (ALL) </w:t>
      </w:r>
      <w:r w:rsidR="00A44912">
        <w:t>sellaisi</w:t>
      </w:r>
      <w:r w:rsidR="00734C2A">
        <w:t>ll</w:t>
      </w:r>
      <w:r w:rsidR="00A44912">
        <w:t>a lapsipotilaita</w:t>
      </w:r>
      <w:r w:rsidR="00B4720B">
        <w:t xml:space="preserve"> ja kork</w:t>
      </w:r>
      <w:r w:rsidR="001C7825">
        <w:t xml:space="preserve">eintaan 25 </w:t>
      </w:r>
      <w:r w:rsidR="00A44912">
        <w:t xml:space="preserve">vuoden </w:t>
      </w:r>
      <w:r w:rsidR="000B2771">
        <w:t>ikäisi</w:t>
      </w:r>
      <w:r w:rsidR="00734C2A">
        <w:t>ll</w:t>
      </w:r>
      <w:r w:rsidR="000B2771">
        <w:t xml:space="preserve">ä </w:t>
      </w:r>
      <w:r w:rsidR="00A44912">
        <w:t>nuori</w:t>
      </w:r>
      <w:r w:rsidR="00734C2A">
        <w:t>ll</w:t>
      </w:r>
      <w:r w:rsidR="00A44912">
        <w:t xml:space="preserve">a </w:t>
      </w:r>
      <w:r w:rsidR="00734C2A">
        <w:t>aikuispotilailla</w:t>
      </w:r>
      <w:r w:rsidR="00B4720B">
        <w:t xml:space="preserve">, joiden </w:t>
      </w:r>
      <w:r w:rsidR="00734C2A">
        <w:t>sairaus</w:t>
      </w:r>
    </w:p>
    <w:p w14:paraId="44CAF82A" w14:textId="77777777" w:rsidR="00776576" w:rsidRDefault="00B4720B" w:rsidP="00776576">
      <w:pPr>
        <w:pStyle w:val="Luettelokappale"/>
        <w:numPr>
          <w:ilvl w:val="0"/>
          <w:numId w:val="21"/>
        </w:numPr>
      </w:pPr>
      <w:r>
        <w:t xml:space="preserve">ei ole reagoinut aiempaan hoitoon (hoitoresistentti) </w:t>
      </w:r>
    </w:p>
    <w:p w14:paraId="51ED78B1" w14:textId="4A852D55" w:rsidR="00776576" w:rsidRDefault="00B4720B" w:rsidP="00776576">
      <w:pPr>
        <w:pStyle w:val="Luettelokappale"/>
        <w:numPr>
          <w:ilvl w:val="0"/>
          <w:numId w:val="21"/>
        </w:numPr>
      </w:pPr>
      <w:r>
        <w:t xml:space="preserve">on uusiutunut kaksi </w:t>
      </w:r>
      <w:r w:rsidR="00776576">
        <w:t xml:space="preserve">kertaa tai useammin </w:t>
      </w:r>
    </w:p>
    <w:p w14:paraId="240B0B64" w14:textId="1E3BF4D8" w:rsidR="00B4720B" w:rsidRPr="00B4720B" w:rsidRDefault="00B4720B" w:rsidP="00776576">
      <w:pPr>
        <w:pStyle w:val="Luettelokappale"/>
        <w:numPr>
          <w:ilvl w:val="0"/>
          <w:numId w:val="21"/>
        </w:numPr>
      </w:pPr>
      <w:r>
        <w:t>on uusiutunut kantasolusiirron jälkeen.</w:t>
      </w:r>
    </w:p>
    <w:p w14:paraId="7EE1B516" w14:textId="6B280D61" w:rsidR="005B6CD1" w:rsidRDefault="005B6CD1" w:rsidP="00B46C96">
      <w:pPr>
        <w:ind w:left="2608"/>
        <w:rPr>
          <w:rFonts w:ascii="Arial" w:hAnsi="Arial"/>
          <w:sz w:val="18"/>
          <w:szCs w:val="18"/>
        </w:rPr>
      </w:pPr>
    </w:p>
    <w:p w14:paraId="7EE1B518" w14:textId="2639A060" w:rsidR="005B6CD1" w:rsidRPr="00B4720B" w:rsidRDefault="00734C2A" w:rsidP="00B4720B">
      <w:pPr>
        <w:pStyle w:val="Otsikko4"/>
      </w:pPr>
      <w:r>
        <w:t>I</w:t>
      </w:r>
      <w:r w:rsidR="005B6CD1" w:rsidRPr="003629D9">
        <w:t>nterventio</w:t>
      </w:r>
    </w:p>
    <w:p w14:paraId="7EE1B51B" w14:textId="77777777" w:rsidR="00122E73" w:rsidRPr="00122E73" w:rsidRDefault="00122E73" w:rsidP="00122E73">
      <w:pPr>
        <w:rPr>
          <w:rFonts w:cs="Times New Roman"/>
          <w:sz w:val="20"/>
          <w:szCs w:val="20"/>
        </w:rPr>
      </w:pPr>
    </w:p>
    <w:p w14:paraId="7EE1B51C" w14:textId="01FDD0A1" w:rsidR="00122E73" w:rsidRPr="00B4720B" w:rsidRDefault="001C7825" w:rsidP="00122E73">
      <w:pPr>
        <w:tabs>
          <w:tab w:val="left" w:pos="907"/>
        </w:tabs>
        <w:suppressAutoHyphens/>
        <w:ind w:left="907" w:hanging="907"/>
        <w:jc w:val="both"/>
      </w:pPr>
      <w:r>
        <w:tab/>
      </w:r>
      <w:r>
        <w:tab/>
      </w:r>
      <w:r>
        <w:tab/>
      </w:r>
      <w:proofErr w:type="spellStart"/>
      <w:r w:rsidR="009D1D79">
        <w:t>T</w:t>
      </w:r>
      <w:r w:rsidR="00B4720B" w:rsidRPr="00B4720B">
        <w:t>isagenlekleuseeli</w:t>
      </w:r>
      <w:proofErr w:type="spellEnd"/>
      <w:r w:rsidR="009D1D79">
        <w:t>-lääke</w:t>
      </w:r>
      <w:r w:rsidR="00B4720B" w:rsidRPr="00B4720B">
        <w:t>.</w:t>
      </w:r>
    </w:p>
    <w:p w14:paraId="7EE1B51D" w14:textId="77777777" w:rsidR="00122E73" w:rsidRDefault="005B6CD1" w:rsidP="00E0652B">
      <w:pPr>
        <w:pStyle w:val="Otsikko2"/>
      </w:pPr>
      <w:bookmarkStart w:id="10" w:name="_Toc535066128"/>
      <w:r>
        <w:t>Terveysongelman vakavuus</w:t>
      </w:r>
      <w:bookmarkEnd w:id="10"/>
    </w:p>
    <w:p w14:paraId="7ACD3019" w14:textId="77777777" w:rsidR="00B4720B" w:rsidRDefault="00B4720B" w:rsidP="00B4720B"/>
    <w:p w14:paraId="4E3FB70C" w14:textId="0FDD1493" w:rsidR="004C54F1" w:rsidRDefault="004C54F1" w:rsidP="001C7825">
      <w:pPr>
        <w:ind w:left="2608"/>
      </w:pPr>
      <w:r w:rsidRPr="004C54F1">
        <w:t xml:space="preserve">Akuutti </w:t>
      </w:r>
      <w:proofErr w:type="spellStart"/>
      <w:r w:rsidRPr="004C54F1">
        <w:t>lymfoblastinen</w:t>
      </w:r>
      <w:proofErr w:type="spellEnd"/>
      <w:r w:rsidRPr="004C54F1">
        <w:t xml:space="preserve"> leukemia (ALL) on nopeasti etenevä veritauti. Siinä valkosoluihin kuuluvien imusolujen esiasteet (</w:t>
      </w:r>
      <w:proofErr w:type="spellStart"/>
      <w:r w:rsidRPr="004C54F1">
        <w:t>lymfoblastit</w:t>
      </w:r>
      <w:proofErr w:type="spellEnd"/>
      <w:r w:rsidRPr="004C54F1">
        <w:t>) muuttuvat luuytimessä pahanlaatuisiksi syöpäsoluiksi, jotka kasvavat ja lisääntyvät hallitsemattomasti.</w:t>
      </w:r>
    </w:p>
    <w:p w14:paraId="0E8A5064" w14:textId="77777777" w:rsidR="004C54F1" w:rsidRDefault="004C54F1" w:rsidP="001C7825">
      <w:pPr>
        <w:ind w:left="2608"/>
      </w:pPr>
    </w:p>
    <w:p w14:paraId="2CBB302F" w14:textId="4B7DB934" w:rsidR="00B4720B" w:rsidRDefault="00B4720B" w:rsidP="001C7825">
      <w:pPr>
        <w:ind w:left="2608"/>
      </w:pPr>
      <w:r w:rsidRPr="00B4720B">
        <w:t xml:space="preserve">Lapsilla ja nuorilla aikuisilla </w:t>
      </w:r>
      <w:proofErr w:type="spellStart"/>
      <w:r w:rsidRPr="00B4720B">
        <w:t>ALL:n</w:t>
      </w:r>
      <w:proofErr w:type="spellEnd"/>
      <w:r w:rsidRPr="00B4720B">
        <w:t xml:space="preserve"> ennuste on hyvä. Nykyisillä hoidoilla potilaista noin 85–90 % odoteta</w:t>
      </w:r>
      <w:r w:rsidR="00776576">
        <w:t xml:space="preserve">an paranevan pysyvästi. </w:t>
      </w:r>
      <w:r>
        <w:lastRenderedPageBreak/>
        <w:t>Uu</w:t>
      </w:r>
      <w:r w:rsidRPr="00B4720B">
        <w:t xml:space="preserve">siutuneessa taudissa ennuste on heikompi ja hoitovaihtoehtoja </w:t>
      </w:r>
      <w:r w:rsidR="000B2771">
        <w:t xml:space="preserve">on </w:t>
      </w:r>
      <w:r w:rsidRPr="00B4720B">
        <w:t>vähemmän. Erityisesti sellaisten potilaiden ennuste on huono, joiden tauti on hoitoresistentti tai se on uusiutunut kantasolusiirron tai vähintään kahden aikaisemman hoitojakson jälkeen.</w:t>
      </w:r>
    </w:p>
    <w:p w14:paraId="617D5E6C" w14:textId="77777777" w:rsidR="00B4720B" w:rsidRDefault="00B4720B" w:rsidP="00B4720B"/>
    <w:p w14:paraId="219C4BD9" w14:textId="2105A392" w:rsidR="00B4720B" w:rsidRPr="00B4720B" w:rsidRDefault="00776576" w:rsidP="001C7825">
      <w:pPr>
        <w:ind w:left="2608"/>
      </w:pPr>
      <w:r w:rsidRPr="004F671B">
        <w:t xml:space="preserve">Tutkimuksissa, joissa </w:t>
      </w:r>
      <w:r w:rsidR="0017194C">
        <w:t>lasten tai nuorten aikuisten</w:t>
      </w:r>
      <w:r w:rsidR="00F7430E">
        <w:t xml:space="preserve"> </w:t>
      </w:r>
      <w:r w:rsidRPr="004F671B">
        <w:t xml:space="preserve">hoitoresistentin tai uusiutuneen B-solulinjan </w:t>
      </w:r>
      <w:proofErr w:type="spellStart"/>
      <w:r w:rsidRPr="004F671B">
        <w:t>ALL:n</w:t>
      </w:r>
      <w:proofErr w:type="spellEnd"/>
      <w:r w:rsidRPr="004F671B">
        <w:t xml:space="preserve"> hoidossa on käytetty erilais</w:t>
      </w:r>
      <w:r w:rsidR="00A03B33" w:rsidRPr="004F671B">
        <w:t>i</w:t>
      </w:r>
      <w:r w:rsidRPr="004F671B">
        <w:t>a hoitovaihtoehtoja, potilaista puolet on menehtynyt 3–11 kuukauden kuluessa (OS mediaani) tu</w:t>
      </w:r>
      <w:r w:rsidR="004C54F1">
        <w:t>t</w:t>
      </w:r>
      <w:r w:rsidRPr="004F671B">
        <w:t>kimukseen mukaan tulosta tai hoidon aloituksesta.</w:t>
      </w:r>
    </w:p>
    <w:p w14:paraId="7EE1B52A" w14:textId="77777777" w:rsidR="00122E73" w:rsidRDefault="005B6CD1" w:rsidP="00E0652B">
      <w:pPr>
        <w:pStyle w:val="Otsikko2"/>
      </w:pPr>
      <w:bookmarkStart w:id="11" w:name="_Toc535066129"/>
      <w:r>
        <w:t>Aihetta koskevat selvitykset ja suositukset</w:t>
      </w:r>
      <w:bookmarkEnd w:id="11"/>
    </w:p>
    <w:p w14:paraId="7EE1B52B" w14:textId="77777777" w:rsidR="005B6CD1" w:rsidRDefault="005B6CD1" w:rsidP="005B6CD1"/>
    <w:p w14:paraId="7EE1B52C" w14:textId="586795D2" w:rsidR="005B6CD1" w:rsidRDefault="009F1FD1" w:rsidP="00E0652B">
      <w:pPr>
        <w:pStyle w:val="Otsikko3"/>
      </w:pPr>
      <w:bookmarkStart w:id="12" w:name="_Toc535066130"/>
      <w:r>
        <w:t>Selvitys/</w:t>
      </w:r>
      <w:proofErr w:type="spellStart"/>
      <w:r w:rsidR="005B6CD1">
        <w:t>Fimean</w:t>
      </w:r>
      <w:proofErr w:type="spellEnd"/>
      <w:r w:rsidR="005B6CD1">
        <w:t xml:space="preserve"> arviointiraportti</w:t>
      </w:r>
      <w:r>
        <w:t xml:space="preserve"> </w:t>
      </w:r>
      <w:proofErr w:type="spellStart"/>
      <w:r>
        <w:t>tms</w:t>
      </w:r>
      <w:bookmarkEnd w:id="12"/>
      <w:proofErr w:type="spellEnd"/>
    </w:p>
    <w:p w14:paraId="2180C2B6" w14:textId="77777777" w:rsidR="00776576" w:rsidRDefault="00776576" w:rsidP="00776576"/>
    <w:p w14:paraId="63BA959C" w14:textId="0084787E" w:rsidR="00776576" w:rsidRPr="00776576" w:rsidRDefault="00776576" w:rsidP="001C7825">
      <w:pPr>
        <w:ind w:left="2608"/>
      </w:pPr>
      <w:r>
        <w:t>Palko</w:t>
      </w:r>
      <w:r w:rsidR="00531B8C">
        <w:t>n</w:t>
      </w:r>
      <w:r>
        <w:t xml:space="preserve"> suositus perustuu </w:t>
      </w:r>
      <w:proofErr w:type="spellStart"/>
      <w:r>
        <w:t>Fimean</w:t>
      </w:r>
      <w:proofErr w:type="spellEnd"/>
      <w:r>
        <w:t xml:space="preserve"> tuottamaan </w:t>
      </w:r>
      <w:proofErr w:type="spellStart"/>
      <w:r>
        <w:t>arvointiraporttiin</w:t>
      </w:r>
      <w:proofErr w:type="spellEnd"/>
      <w:r>
        <w:t xml:space="preserve"> (Rannanheimo ym. 2018)</w:t>
      </w:r>
      <w:r w:rsidR="00531B8C">
        <w:t>.</w:t>
      </w:r>
    </w:p>
    <w:p w14:paraId="7EE1B52D" w14:textId="77777777" w:rsidR="00122E73" w:rsidRPr="00122E73" w:rsidRDefault="00122E73" w:rsidP="00122E73">
      <w:pPr>
        <w:spacing w:line="280" w:lineRule="exact"/>
        <w:ind w:firstLine="240"/>
        <w:jc w:val="both"/>
        <w:rPr>
          <w:rFonts w:cs="Times New Roman"/>
          <w:sz w:val="20"/>
        </w:rPr>
      </w:pPr>
    </w:p>
    <w:p w14:paraId="7EE1B53A" w14:textId="77777777" w:rsidR="00DD0692" w:rsidRDefault="00DD0692" w:rsidP="00E0652B">
      <w:pPr>
        <w:pStyle w:val="Otsikko3"/>
      </w:pPr>
      <w:bookmarkStart w:id="13" w:name="_Toc535066131"/>
      <w:r>
        <w:t>Kotimaiset hoitosuositukset ja selvitykset</w:t>
      </w:r>
      <w:bookmarkEnd w:id="13"/>
    </w:p>
    <w:p w14:paraId="7EE1B53B" w14:textId="77777777" w:rsidR="00DD0692" w:rsidRPr="00DD0692" w:rsidRDefault="00DD0692" w:rsidP="00DD0692"/>
    <w:p w14:paraId="7EE1B53D" w14:textId="33DA54E1" w:rsidR="00DD0692" w:rsidRPr="001C7825" w:rsidRDefault="00776576" w:rsidP="001C7825">
      <w:pPr>
        <w:ind w:left="2608"/>
        <w:rPr>
          <w:rFonts w:eastAsia="MS PGothic" w:cs="Times New Roman"/>
        </w:rPr>
      </w:pPr>
      <w:r w:rsidRPr="00776576">
        <w:rPr>
          <w:rFonts w:eastAsia="MS PGothic" w:cs="Times New Roman"/>
        </w:rPr>
        <w:t xml:space="preserve">Suomessa ei ole hoitosuositusta </w:t>
      </w:r>
      <w:r>
        <w:rPr>
          <w:rFonts w:eastAsia="MS PGothic" w:cs="Times New Roman"/>
        </w:rPr>
        <w:t xml:space="preserve">sellaisen B-solulinjan </w:t>
      </w:r>
      <w:proofErr w:type="spellStart"/>
      <w:r>
        <w:rPr>
          <w:rFonts w:eastAsia="MS PGothic" w:cs="Times New Roman"/>
        </w:rPr>
        <w:t>ALL</w:t>
      </w:r>
      <w:r w:rsidR="00531B8C">
        <w:rPr>
          <w:rFonts w:eastAsia="MS PGothic" w:cs="Times New Roman"/>
        </w:rPr>
        <w:t>:</w:t>
      </w:r>
      <w:r>
        <w:rPr>
          <w:rFonts w:eastAsia="MS PGothic" w:cs="Times New Roman"/>
        </w:rPr>
        <w:t>n</w:t>
      </w:r>
      <w:proofErr w:type="spellEnd"/>
      <w:r>
        <w:rPr>
          <w:rFonts w:eastAsia="MS PGothic" w:cs="Times New Roman"/>
        </w:rPr>
        <w:t xml:space="preserve"> hoitoon, jo</w:t>
      </w:r>
      <w:r w:rsidR="00A44912">
        <w:rPr>
          <w:rFonts w:eastAsia="MS PGothic" w:cs="Times New Roman"/>
        </w:rPr>
        <w:t>ka</w:t>
      </w:r>
      <w:r w:rsidR="001C7825">
        <w:rPr>
          <w:rFonts w:eastAsia="MS PGothic" w:cs="Times New Roman"/>
        </w:rPr>
        <w:t xml:space="preserve"> </w:t>
      </w:r>
      <w:r>
        <w:t>ei ole reagoinut aiempaan hoitoon (hoitoresistentti)</w:t>
      </w:r>
      <w:r w:rsidR="001C7825">
        <w:t xml:space="preserve">, </w:t>
      </w:r>
      <w:r>
        <w:t xml:space="preserve">on uusiutunut kaksi kertaa tai useammin </w:t>
      </w:r>
      <w:r w:rsidR="001C7825">
        <w:rPr>
          <w:rFonts w:eastAsia="MS PGothic" w:cs="Times New Roman"/>
        </w:rPr>
        <w:t xml:space="preserve">tai </w:t>
      </w:r>
      <w:r>
        <w:t>on uusiutunut kantasolusiirron jälkeen.</w:t>
      </w:r>
    </w:p>
    <w:p w14:paraId="7EE1B53E" w14:textId="77777777" w:rsidR="00DD0692" w:rsidRDefault="00DD0692" w:rsidP="00E0652B">
      <w:pPr>
        <w:pStyle w:val="Otsikko3"/>
        <w:rPr>
          <w:rFonts w:eastAsia="MS PGothic"/>
        </w:rPr>
      </w:pPr>
      <w:bookmarkStart w:id="14" w:name="_Toc535066132"/>
      <w:r>
        <w:rPr>
          <w:rFonts w:eastAsia="MS PGothic"/>
        </w:rPr>
        <w:t>Ulkomais</w:t>
      </w:r>
      <w:r w:rsidR="006A08BE">
        <w:rPr>
          <w:rFonts w:eastAsia="MS PGothic"/>
        </w:rPr>
        <w:t>e</w:t>
      </w:r>
      <w:r>
        <w:rPr>
          <w:rFonts w:eastAsia="MS PGothic"/>
        </w:rPr>
        <w:t>t hoitosuositukset ja selvitykset</w:t>
      </w:r>
      <w:bookmarkEnd w:id="14"/>
    </w:p>
    <w:p w14:paraId="4CFBF013" w14:textId="77777777" w:rsidR="00776576" w:rsidRDefault="00776576" w:rsidP="00776576">
      <w:pPr>
        <w:rPr>
          <w:rFonts w:eastAsia="MS PGothic"/>
        </w:rPr>
      </w:pPr>
    </w:p>
    <w:p w14:paraId="1C3EAB98" w14:textId="3CE52EC3" w:rsidR="00A44912" w:rsidRDefault="00A44912" w:rsidP="001C7825">
      <w:pPr>
        <w:ind w:left="2608"/>
        <w:rPr>
          <w:rFonts w:eastAsia="MS PGothic"/>
        </w:rPr>
      </w:pPr>
      <w:r>
        <w:rPr>
          <w:rFonts w:eastAsia="MS PGothic"/>
        </w:rPr>
        <w:t xml:space="preserve">Arviointeja, joiden tavoite </w:t>
      </w:r>
      <w:proofErr w:type="gramStart"/>
      <w:r>
        <w:rPr>
          <w:rFonts w:eastAsia="MS PGothic"/>
        </w:rPr>
        <w:t xml:space="preserve">on informoida </w:t>
      </w:r>
      <w:proofErr w:type="spellStart"/>
      <w:r w:rsidR="009D1D79">
        <w:rPr>
          <w:rFonts w:eastAsia="MS PGothic"/>
        </w:rPr>
        <w:t>tisagenlekleuseeli</w:t>
      </w:r>
      <w:proofErr w:type="spellEnd"/>
      <w:r>
        <w:rPr>
          <w:rFonts w:eastAsia="MS PGothic"/>
        </w:rPr>
        <w:t>-hoidon käyttöön liittyvää päätöksentekoa on</w:t>
      </w:r>
      <w:proofErr w:type="gramEnd"/>
      <w:r>
        <w:rPr>
          <w:rFonts w:eastAsia="MS PGothic"/>
        </w:rPr>
        <w:t xml:space="preserve"> meneillään useissa maissa. Yhteenveto keskeisten maiden arvioinneista on taulukossa 1.</w:t>
      </w:r>
    </w:p>
    <w:p w14:paraId="60684C29" w14:textId="77777777" w:rsidR="00A44912" w:rsidRDefault="00A44912" w:rsidP="00776576">
      <w:pPr>
        <w:pStyle w:val="LiiteOtsikko"/>
        <w:numPr>
          <w:ilvl w:val="0"/>
          <w:numId w:val="0"/>
        </w:numPr>
        <w:ind w:left="1304" w:hanging="1304"/>
      </w:pPr>
    </w:p>
    <w:p w14:paraId="48E066D2" w14:textId="3D6D3A4C" w:rsidR="00776576" w:rsidRDefault="00776576" w:rsidP="00776576">
      <w:pPr>
        <w:pStyle w:val="LiiteOtsikko"/>
        <w:numPr>
          <w:ilvl w:val="0"/>
          <w:numId w:val="0"/>
        </w:numPr>
        <w:ind w:left="1304" w:hanging="1304"/>
      </w:pPr>
      <w:r>
        <w:t xml:space="preserve">Taulukko 1. Kooste eräiden HTA-organisaatioiden arvioinneista. </w:t>
      </w:r>
    </w:p>
    <w:tbl>
      <w:tblPr>
        <w:tblStyle w:val="TaulukkoRuudukko1111"/>
        <w:tblW w:w="7371" w:type="dxa"/>
        <w:tblInd w:w="28" w:type="dxa"/>
        <w:tblBorders>
          <w:top w:val="single" w:sz="4" w:space="0" w:color="2A5DA8"/>
          <w:left w:val="single" w:sz="4" w:space="0" w:color="2A5DA8"/>
          <w:bottom w:val="single" w:sz="4" w:space="0" w:color="2A5DA8"/>
          <w:right w:val="single" w:sz="4" w:space="0" w:color="2A5DA8"/>
          <w:insideH w:val="single" w:sz="4" w:space="0" w:color="2A5DA8"/>
          <w:insideV w:val="single" w:sz="4" w:space="0" w:color="2A5DA8"/>
        </w:tblBorders>
        <w:tblLayout w:type="fixed"/>
        <w:tblLook w:val="04A0" w:firstRow="1" w:lastRow="0" w:firstColumn="1" w:lastColumn="0" w:noHBand="0" w:noVBand="1"/>
      </w:tblPr>
      <w:tblGrid>
        <w:gridCol w:w="2538"/>
        <w:gridCol w:w="4833"/>
      </w:tblGrid>
      <w:tr w:rsidR="00776576" w:rsidRPr="00C37B75" w14:paraId="62B59DF1" w14:textId="77777777" w:rsidTr="00F27F8D">
        <w:trPr>
          <w:trHeight w:val="289"/>
        </w:trPr>
        <w:tc>
          <w:tcPr>
            <w:tcW w:w="2538" w:type="dxa"/>
            <w:tcBorders>
              <w:top w:val="single" w:sz="8" w:space="0" w:color="2A5DA8"/>
              <w:left w:val="single" w:sz="8" w:space="0" w:color="2A5DA8"/>
              <w:bottom w:val="single" w:sz="8" w:space="0" w:color="2A5DA8"/>
              <w:right w:val="single" w:sz="4" w:space="0" w:color="2A5DA8"/>
            </w:tcBorders>
            <w:shd w:val="clear" w:color="auto" w:fill="A1BDE7"/>
            <w:noWrap/>
            <w:tcMar>
              <w:top w:w="28" w:type="dxa"/>
              <w:left w:w="28" w:type="dxa"/>
              <w:bottom w:w="28" w:type="dxa"/>
              <w:right w:w="28" w:type="dxa"/>
            </w:tcMar>
            <w:vAlign w:val="center"/>
          </w:tcPr>
          <w:p w14:paraId="63D566DF" w14:textId="77777777" w:rsidR="00776576" w:rsidRPr="00B90C5E" w:rsidRDefault="00776576" w:rsidP="00F27F8D">
            <w:pPr>
              <w:pStyle w:val="TaulukkoLeipteksti"/>
              <w:rPr>
                <w:b/>
              </w:rPr>
            </w:pPr>
            <w:r w:rsidRPr="00B90C5E">
              <w:rPr>
                <w:b/>
              </w:rPr>
              <w:t>Maa (organisaatio)</w:t>
            </w:r>
          </w:p>
        </w:tc>
        <w:tc>
          <w:tcPr>
            <w:tcW w:w="4833" w:type="dxa"/>
            <w:tcBorders>
              <w:top w:val="single" w:sz="8" w:space="0" w:color="2A5DA8"/>
              <w:left w:val="single" w:sz="4" w:space="0" w:color="2A5DA8"/>
              <w:bottom w:val="single" w:sz="8" w:space="0" w:color="2A5DA8"/>
              <w:right w:val="single" w:sz="4" w:space="0" w:color="2A5DA8"/>
            </w:tcBorders>
            <w:shd w:val="clear" w:color="auto" w:fill="A1BDE7"/>
            <w:noWrap/>
            <w:tcMar>
              <w:top w:w="28" w:type="dxa"/>
              <w:left w:w="28" w:type="dxa"/>
              <w:bottom w:w="28" w:type="dxa"/>
              <w:right w:w="28" w:type="dxa"/>
            </w:tcMar>
            <w:vAlign w:val="center"/>
          </w:tcPr>
          <w:p w14:paraId="0CD85806" w14:textId="77777777" w:rsidR="00776576" w:rsidRPr="00B90C5E" w:rsidRDefault="00776576" w:rsidP="00F27F8D">
            <w:pPr>
              <w:pStyle w:val="TaulukkoLeipteksti"/>
              <w:rPr>
                <w:b/>
              </w:rPr>
            </w:pPr>
            <w:r w:rsidRPr="00B90C5E">
              <w:rPr>
                <w:b/>
              </w:rPr>
              <w:t>Arvioinnin tila 20.11.2018</w:t>
            </w:r>
          </w:p>
        </w:tc>
      </w:tr>
      <w:tr w:rsidR="00776576" w:rsidRPr="00C37B75" w14:paraId="0E6753F5" w14:textId="77777777" w:rsidTr="00F27F8D">
        <w:trPr>
          <w:trHeight w:val="289"/>
        </w:trPr>
        <w:tc>
          <w:tcPr>
            <w:tcW w:w="2538" w:type="dxa"/>
            <w:tcBorders>
              <w:top w:val="single" w:sz="8" w:space="0" w:color="2A5DA8"/>
              <w:left w:val="single" w:sz="8" w:space="0" w:color="2A5DA8"/>
              <w:bottom w:val="single" w:sz="8" w:space="0" w:color="2A5DA8"/>
              <w:right w:val="single" w:sz="4" w:space="0" w:color="2A5DA8"/>
            </w:tcBorders>
            <w:shd w:val="clear" w:color="auto" w:fill="C2D5F0"/>
            <w:noWrap/>
            <w:tcMar>
              <w:top w:w="28" w:type="dxa"/>
              <w:left w:w="28" w:type="dxa"/>
              <w:bottom w:w="28" w:type="dxa"/>
              <w:right w:w="28" w:type="dxa"/>
            </w:tcMar>
            <w:vAlign w:val="center"/>
          </w:tcPr>
          <w:p w14:paraId="6C79167E" w14:textId="77777777" w:rsidR="00776576" w:rsidRPr="00B90C5E" w:rsidRDefault="00776576" w:rsidP="00F27F8D">
            <w:pPr>
              <w:pStyle w:val="TaulukkoLeipteksti"/>
              <w:rPr>
                <w:b/>
                <w:lang w:val="en-US"/>
              </w:rPr>
            </w:pPr>
            <w:proofErr w:type="spellStart"/>
            <w:r w:rsidRPr="00B90C5E">
              <w:rPr>
                <w:b/>
                <w:lang w:val="en-US"/>
              </w:rPr>
              <w:t>Englanti</w:t>
            </w:r>
            <w:proofErr w:type="spellEnd"/>
            <w:r w:rsidRPr="00B90C5E">
              <w:rPr>
                <w:b/>
                <w:lang w:val="en-US"/>
              </w:rPr>
              <w:t xml:space="preserve"> &amp; Wales (NICE )</w:t>
            </w:r>
          </w:p>
        </w:tc>
        <w:tc>
          <w:tcPr>
            <w:tcW w:w="4833" w:type="dxa"/>
            <w:tcBorders>
              <w:top w:val="single" w:sz="8" w:space="0" w:color="2A5DA8"/>
              <w:left w:val="single" w:sz="4" w:space="0" w:color="2A5DA8"/>
              <w:bottom w:val="single" w:sz="8" w:space="0" w:color="2A5DA8"/>
              <w:right w:val="single" w:sz="4" w:space="0" w:color="2A5DA8"/>
            </w:tcBorders>
            <w:shd w:val="clear" w:color="auto" w:fill="CEDDF2"/>
            <w:noWrap/>
            <w:tcMar>
              <w:top w:w="28" w:type="dxa"/>
              <w:left w:w="28" w:type="dxa"/>
              <w:bottom w:w="28" w:type="dxa"/>
              <w:right w:w="28" w:type="dxa"/>
            </w:tcMar>
            <w:vAlign w:val="center"/>
          </w:tcPr>
          <w:p w14:paraId="7C60C7D8" w14:textId="77777777" w:rsidR="00776576" w:rsidRPr="00BB2CFB" w:rsidRDefault="00776576" w:rsidP="00F27F8D">
            <w:pPr>
              <w:pStyle w:val="TaulukkoLeipteksti"/>
            </w:pPr>
            <w:r w:rsidRPr="00BB2CFB">
              <w:t xml:space="preserve">Suositellaan hoitovaihtoehdoksi alle 25-vuotiaiden potilaiden hoitoresistentin tai uusiutuneen B-solulinjan </w:t>
            </w:r>
            <w:proofErr w:type="spellStart"/>
            <w:r w:rsidRPr="00BB2CFB">
              <w:t>ALL:n</w:t>
            </w:r>
            <w:proofErr w:type="spellEnd"/>
            <w:r w:rsidRPr="00BB2CFB">
              <w:t xml:space="preserve"> hoitoon osana </w:t>
            </w:r>
            <w:proofErr w:type="spellStart"/>
            <w:r w:rsidRPr="00BB2CFB">
              <w:t>Cancer</w:t>
            </w:r>
            <w:proofErr w:type="spellEnd"/>
            <w:r w:rsidRPr="00BB2CFB">
              <w:t xml:space="preserve"> </w:t>
            </w:r>
            <w:proofErr w:type="spellStart"/>
            <w:r w:rsidRPr="00BB2CFB">
              <w:t>Drug</w:t>
            </w:r>
            <w:proofErr w:type="spellEnd"/>
            <w:r w:rsidRPr="00BB2CFB">
              <w:t xml:space="preserve"> </w:t>
            </w:r>
            <w:proofErr w:type="spellStart"/>
            <w:r w:rsidRPr="00BB2CFB">
              <w:t>Fund</w:t>
            </w:r>
            <w:proofErr w:type="spellEnd"/>
            <w:r w:rsidRPr="00BB2CFB">
              <w:t xml:space="preserve"> (CDF) -</w:t>
            </w:r>
            <w:r>
              <w:t>j</w:t>
            </w:r>
            <w:r w:rsidRPr="00BB2CFB">
              <w:t>ärjestelyä ja hallitun käyttöönoton sopimusta.</w:t>
            </w:r>
          </w:p>
          <w:p w14:paraId="27DFB536" w14:textId="77777777" w:rsidR="00776576" w:rsidRPr="00BB2CFB" w:rsidRDefault="00776576" w:rsidP="00F27F8D">
            <w:pPr>
              <w:pStyle w:val="TaulukkoLeipteksti"/>
            </w:pPr>
          </w:p>
          <w:p w14:paraId="4C37A951" w14:textId="63670BC7" w:rsidR="00776576" w:rsidRPr="00BB2CFB" w:rsidRDefault="00776576" w:rsidP="00F27F8D">
            <w:pPr>
              <w:pStyle w:val="TaulukkoLeipteksti"/>
              <w:rPr>
                <w:highlight w:val="yellow"/>
              </w:rPr>
            </w:pPr>
            <w:r w:rsidRPr="00BB2CFB">
              <w:t xml:space="preserve">NICE voi suositella lääkkeen käyttöä osana </w:t>
            </w:r>
            <w:proofErr w:type="spellStart"/>
            <w:r w:rsidRPr="00BB2CFB">
              <w:t>Cancer</w:t>
            </w:r>
            <w:proofErr w:type="spellEnd"/>
            <w:r w:rsidRPr="00BB2CFB">
              <w:t xml:space="preserve"> </w:t>
            </w:r>
            <w:proofErr w:type="spellStart"/>
            <w:r w:rsidRPr="00BB2CFB">
              <w:t>Drug</w:t>
            </w:r>
            <w:proofErr w:type="spellEnd"/>
            <w:r w:rsidRPr="00BB2CFB">
              <w:t xml:space="preserve"> </w:t>
            </w:r>
            <w:proofErr w:type="spellStart"/>
            <w:r w:rsidRPr="00BB2CFB">
              <w:t>Fund</w:t>
            </w:r>
            <w:proofErr w:type="spellEnd"/>
            <w:r w:rsidRPr="00BB2CFB">
              <w:t xml:space="preserve"> -rahaston toimintaa tilanteissa, joissa hoidolla arvioidaan olevan uskottavaa potentiaali</w:t>
            </w:r>
            <w:r w:rsidR="000B2771">
              <w:t>a</w:t>
            </w:r>
            <w:r w:rsidRPr="00BB2CFB">
              <w:t xml:space="preserve"> rutiiniomaiseen käyttöön. Hoidon kliinisiin vaikutuksiin tai kustannusvaikuttavuuteen liittyy kuitenkin huomattavaa epävarmuutta, mikä vaatii lisänäytön keräämistä osana kliinistä tutkimusta tai osana lääkkeen käyttöä terveydenhuollossa. </w:t>
            </w:r>
          </w:p>
        </w:tc>
      </w:tr>
      <w:tr w:rsidR="00776576" w:rsidRPr="00227B9A" w14:paraId="1B137034" w14:textId="77777777" w:rsidTr="00F27F8D">
        <w:trPr>
          <w:trHeight w:val="289"/>
        </w:trPr>
        <w:tc>
          <w:tcPr>
            <w:tcW w:w="2538" w:type="dxa"/>
            <w:tcBorders>
              <w:top w:val="single" w:sz="8" w:space="0" w:color="2A5DA8"/>
              <w:left w:val="single" w:sz="8" w:space="0" w:color="2A5DA8"/>
              <w:bottom w:val="single" w:sz="8" w:space="0" w:color="2A5DA8"/>
              <w:right w:val="single" w:sz="4" w:space="0" w:color="2A5DA8"/>
            </w:tcBorders>
            <w:shd w:val="clear" w:color="auto" w:fill="C2D5F0"/>
            <w:noWrap/>
            <w:tcMar>
              <w:top w:w="28" w:type="dxa"/>
              <w:left w:w="28" w:type="dxa"/>
              <w:bottom w:w="28" w:type="dxa"/>
              <w:right w:w="28" w:type="dxa"/>
            </w:tcMar>
            <w:vAlign w:val="center"/>
          </w:tcPr>
          <w:p w14:paraId="2D0C9514" w14:textId="77777777" w:rsidR="00776576" w:rsidRPr="00B90C5E" w:rsidRDefault="00776576" w:rsidP="00F27F8D">
            <w:pPr>
              <w:pStyle w:val="TaulukkoLeipteksti"/>
              <w:rPr>
                <w:b/>
                <w:lang w:val="en-US"/>
              </w:rPr>
            </w:pPr>
            <w:proofErr w:type="spellStart"/>
            <w:r w:rsidRPr="00B90C5E">
              <w:rPr>
                <w:b/>
                <w:lang w:val="en-US"/>
              </w:rPr>
              <w:t>Kanada</w:t>
            </w:r>
            <w:proofErr w:type="spellEnd"/>
            <w:r w:rsidRPr="00B90C5E">
              <w:rPr>
                <w:b/>
                <w:lang w:val="en-US"/>
              </w:rPr>
              <w:t xml:space="preserve"> (CADTH)</w:t>
            </w:r>
          </w:p>
        </w:tc>
        <w:tc>
          <w:tcPr>
            <w:tcW w:w="4833" w:type="dxa"/>
            <w:tcBorders>
              <w:top w:val="single" w:sz="8" w:space="0" w:color="2A5DA8"/>
              <w:left w:val="single" w:sz="4" w:space="0" w:color="2A5DA8"/>
              <w:bottom w:val="single" w:sz="8" w:space="0" w:color="2A5DA8"/>
              <w:right w:val="single" w:sz="4" w:space="0" w:color="2A5DA8"/>
            </w:tcBorders>
            <w:shd w:val="clear" w:color="auto" w:fill="CEDDF2"/>
            <w:noWrap/>
            <w:tcMar>
              <w:top w:w="28" w:type="dxa"/>
              <w:left w:w="28" w:type="dxa"/>
              <w:bottom w:w="28" w:type="dxa"/>
              <w:right w:w="28" w:type="dxa"/>
            </w:tcMar>
            <w:vAlign w:val="center"/>
          </w:tcPr>
          <w:p w14:paraId="56BFE726" w14:textId="54CD5CC0" w:rsidR="00776576" w:rsidRPr="00DE0394" w:rsidRDefault="00DE0394" w:rsidP="00DE0394">
            <w:pPr>
              <w:pStyle w:val="TaulukkoLeipteksti"/>
            </w:pPr>
            <w:r w:rsidRPr="00DE0394">
              <w:t xml:space="preserve">Käyttöönottoa suositellaan, mutta suositukseen sisältyy ehtoja mm. </w:t>
            </w:r>
            <w:r>
              <w:t>hinnasta</w:t>
            </w:r>
          </w:p>
        </w:tc>
      </w:tr>
      <w:tr w:rsidR="00776576" w:rsidRPr="00C37B75" w14:paraId="7C9B8362" w14:textId="77777777" w:rsidTr="00F27F8D">
        <w:trPr>
          <w:trHeight w:val="289"/>
        </w:trPr>
        <w:tc>
          <w:tcPr>
            <w:tcW w:w="2538" w:type="dxa"/>
            <w:tcBorders>
              <w:top w:val="single" w:sz="8" w:space="0" w:color="2A5DA8"/>
              <w:left w:val="single" w:sz="8" w:space="0" w:color="2A5DA8"/>
              <w:bottom w:val="single" w:sz="8" w:space="0" w:color="2A5DA8"/>
              <w:right w:val="single" w:sz="4" w:space="0" w:color="2A5DA8"/>
            </w:tcBorders>
            <w:shd w:val="clear" w:color="auto" w:fill="C2D5F0"/>
            <w:noWrap/>
            <w:tcMar>
              <w:top w:w="28" w:type="dxa"/>
              <w:left w:w="28" w:type="dxa"/>
              <w:bottom w:w="28" w:type="dxa"/>
              <w:right w:w="28" w:type="dxa"/>
            </w:tcMar>
            <w:vAlign w:val="center"/>
          </w:tcPr>
          <w:p w14:paraId="53C434BC" w14:textId="77777777" w:rsidR="00776576" w:rsidRPr="00B90C5E" w:rsidRDefault="00776576" w:rsidP="00F27F8D">
            <w:pPr>
              <w:pStyle w:val="TaulukkoLeipteksti"/>
              <w:rPr>
                <w:b/>
              </w:rPr>
            </w:pPr>
            <w:r w:rsidRPr="00B90C5E">
              <w:rPr>
                <w:b/>
              </w:rPr>
              <w:t>Ruotsi (</w:t>
            </w:r>
            <w:proofErr w:type="spellStart"/>
            <w:r w:rsidRPr="00B90C5E">
              <w:rPr>
                <w:b/>
              </w:rPr>
              <w:t>Janusinfo</w:t>
            </w:r>
            <w:proofErr w:type="spellEnd"/>
            <w:r w:rsidRPr="00B90C5E">
              <w:rPr>
                <w:b/>
              </w:rPr>
              <w:t>)</w:t>
            </w:r>
          </w:p>
        </w:tc>
        <w:tc>
          <w:tcPr>
            <w:tcW w:w="4833" w:type="dxa"/>
            <w:tcBorders>
              <w:top w:val="single" w:sz="8" w:space="0" w:color="2A5DA8"/>
              <w:left w:val="single" w:sz="4" w:space="0" w:color="2A5DA8"/>
              <w:bottom w:val="single" w:sz="8" w:space="0" w:color="2A5DA8"/>
              <w:right w:val="single" w:sz="4" w:space="0" w:color="2A5DA8"/>
            </w:tcBorders>
            <w:shd w:val="clear" w:color="auto" w:fill="CEDDF2"/>
            <w:noWrap/>
            <w:tcMar>
              <w:top w:w="28" w:type="dxa"/>
              <w:left w:w="28" w:type="dxa"/>
              <w:bottom w:w="28" w:type="dxa"/>
              <w:right w:w="28" w:type="dxa"/>
            </w:tcMar>
            <w:vAlign w:val="center"/>
          </w:tcPr>
          <w:p w14:paraId="2927F2D4" w14:textId="77777777" w:rsidR="00776576" w:rsidRPr="00B90C5E" w:rsidRDefault="00776576" w:rsidP="00F27F8D">
            <w:pPr>
              <w:pStyle w:val="TaulukkoLeipteksti"/>
            </w:pPr>
            <w:r w:rsidRPr="00B90C5E">
              <w:t>Arviointi käynnissä</w:t>
            </w:r>
          </w:p>
        </w:tc>
      </w:tr>
      <w:tr w:rsidR="00776576" w:rsidRPr="00C37B75" w14:paraId="67E30105" w14:textId="77777777" w:rsidTr="00F27F8D">
        <w:trPr>
          <w:trHeight w:val="289"/>
        </w:trPr>
        <w:tc>
          <w:tcPr>
            <w:tcW w:w="2538" w:type="dxa"/>
            <w:tcBorders>
              <w:top w:val="single" w:sz="8" w:space="0" w:color="2A5DA8"/>
              <w:left w:val="single" w:sz="8" w:space="0" w:color="2A5DA8"/>
              <w:bottom w:val="single" w:sz="8" w:space="0" w:color="2A5DA8"/>
              <w:right w:val="single" w:sz="4" w:space="0" w:color="2A5DA8"/>
            </w:tcBorders>
            <w:shd w:val="clear" w:color="auto" w:fill="C2D5F0"/>
            <w:noWrap/>
            <w:tcMar>
              <w:top w:w="28" w:type="dxa"/>
              <w:left w:w="28" w:type="dxa"/>
              <w:bottom w:w="28" w:type="dxa"/>
              <w:right w:w="28" w:type="dxa"/>
            </w:tcMar>
            <w:vAlign w:val="center"/>
          </w:tcPr>
          <w:p w14:paraId="750C34AB" w14:textId="77777777" w:rsidR="00776576" w:rsidRPr="00B90C5E" w:rsidRDefault="00776576" w:rsidP="00F27F8D">
            <w:pPr>
              <w:pStyle w:val="TaulukkoLeipteksti"/>
              <w:rPr>
                <w:b/>
              </w:rPr>
            </w:pPr>
            <w:r w:rsidRPr="00B90C5E">
              <w:rPr>
                <w:b/>
              </w:rPr>
              <w:t>Norja (</w:t>
            </w:r>
            <w:proofErr w:type="spellStart"/>
            <w:r w:rsidRPr="00B90C5E">
              <w:rPr>
                <w:b/>
              </w:rPr>
              <w:t>Nye</w:t>
            </w:r>
            <w:proofErr w:type="spellEnd"/>
            <w:r w:rsidRPr="00B90C5E">
              <w:rPr>
                <w:b/>
              </w:rPr>
              <w:t xml:space="preserve"> </w:t>
            </w:r>
            <w:proofErr w:type="spellStart"/>
            <w:r w:rsidRPr="00B90C5E">
              <w:rPr>
                <w:b/>
              </w:rPr>
              <w:t>metoder</w:t>
            </w:r>
            <w:proofErr w:type="spellEnd"/>
            <w:r w:rsidRPr="00B90C5E">
              <w:rPr>
                <w:b/>
              </w:rPr>
              <w:t>)</w:t>
            </w:r>
          </w:p>
        </w:tc>
        <w:tc>
          <w:tcPr>
            <w:tcW w:w="4833" w:type="dxa"/>
            <w:tcBorders>
              <w:top w:val="single" w:sz="8" w:space="0" w:color="2A5DA8"/>
              <w:left w:val="single" w:sz="4" w:space="0" w:color="2A5DA8"/>
              <w:bottom w:val="single" w:sz="8" w:space="0" w:color="2A5DA8"/>
              <w:right w:val="single" w:sz="4" w:space="0" w:color="2A5DA8"/>
            </w:tcBorders>
            <w:shd w:val="clear" w:color="auto" w:fill="CEDDF2"/>
            <w:noWrap/>
            <w:tcMar>
              <w:top w:w="28" w:type="dxa"/>
              <w:left w:w="28" w:type="dxa"/>
              <w:bottom w:w="28" w:type="dxa"/>
              <w:right w:w="28" w:type="dxa"/>
            </w:tcMar>
            <w:vAlign w:val="center"/>
          </w:tcPr>
          <w:p w14:paraId="704D7DE0" w14:textId="6AAFBDFD" w:rsidR="00776576" w:rsidRPr="00B90C5E" w:rsidRDefault="00877F44" w:rsidP="00DE0394">
            <w:pPr>
              <w:pStyle w:val="TaulukkoLeipteksti"/>
            </w:pPr>
            <w:r>
              <w:t xml:space="preserve">Voidaan käyttää myyntiluvan mukaisessa käyttöaiheessa. Suositus sisältää ehtoja, jotka liittyvät mm. valmisteen hintaan  ja hoidon vaikutusten seurantaan  </w:t>
            </w:r>
          </w:p>
        </w:tc>
      </w:tr>
      <w:tr w:rsidR="00776576" w:rsidRPr="00C37B75" w14:paraId="33451BD2" w14:textId="77777777" w:rsidTr="00F27F8D">
        <w:trPr>
          <w:trHeight w:val="289"/>
        </w:trPr>
        <w:tc>
          <w:tcPr>
            <w:tcW w:w="2538" w:type="dxa"/>
            <w:tcBorders>
              <w:top w:val="single" w:sz="8" w:space="0" w:color="2A5DA8"/>
              <w:left w:val="single" w:sz="8" w:space="0" w:color="2A5DA8"/>
              <w:bottom w:val="single" w:sz="8" w:space="0" w:color="2A5DA8"/>
              <w:right w:val="single" w:sz="4" w:space="0" w:color="2A5DA8"/>
            </w:tcBorders>
            <w:shd w:val="clear" w:color="auto" w:fill="C2D5F0"/>
            <w:noWrap/>
            <w:tcMar>
              <w:top w:w="28" w:type="dxa"/>
              <w:left w:w="28" w:type="dxa"/>
              <w:bottom w:w="28" w:type="dxa"/>
              <w:right w:w="28" w:type="dxa"/>
            </w:tcMar>
            <w:vAlign w:val="center"/>
          </w:tcPr>
          <w:p w14:paraId="0AAB0665" w14:textId="77777777" w:rsidR="00776576" w:rsidRPr="00B90C5E" w:rsidRDefault="00776576" w:rsidP="00F27F8D">
            <w:pPr>
              <w:pStyle w:val="TaulukkoLeipteksti"/>
              <w:rPr>
                <w:b/>
              </w:rPr>
            </w:pPr>
            <w:r w:rsidRPr="00B90C5E">
              <w:rPr>
                <w:b/>
              </w:rPr>
              <w:t>Tanska (</w:t>
            </w:r>
            <w:proofErr w:type="spellStart"/>
            <w:r w:rsidRPr="00B90C5E">
              <w:rPr>
                <w:b/>
              </w:rPr>
              <w:t>Medicinrådet</w:t>
            </w:r>
            <w:proofErr w:type="spellEnd"/>
            <w:r w:rsidRPr="00B90C5E">
              <w:rPr>
                <w:b/>
              </w:rPr>
              <w:t>)</w:t>
            </w:r>
          </w:p>
        </w:tc>
        <w:tc>
          <w:tcPr>
            <w:tcW w:w="4833" w:type="dxa"/>
            <w:tcBorders>
              <w:top w:val="single" w:sz="8" w:space="0" w:color="2A5DA8"/>
              <w:left w:val="single" w:sz="4" w:space="0" w:color="2A5DA8"/>
              <w:bottom w:val="single" w:sz="8" w:space="0" w:color="2A5DA8"/>
              <w:right w:val="single" w:sz="4" w:space="0" w:color="2A5DA8"/>
            </w:tcBorders>
            <w:shd w:val="clear" w:color="auto" w:fill="CEDDF2"/>
            <w:noWrap/>
            <w:tcMar>
              <w:top w:w="28" w:type="dxa"/>
              <w:left w:w="28" w:type="dxa"/>
              <w:bottom w:w="28" w:type="dxa"/>
              <w:right w:w="28" w:type="dxa"/>
            </w:tcMar>
            <w:vAlign w:val="center"/>
          </w:tcPr>
          <w:p w14:paraId="5E21018B" w14:textId="549457F4" w:rsidR="00776576" w:rsidRPr="00B90C5E" w:rsidRDefault="009D1D79" w:rsidP="00F27F8D">
            <w:pPr>
              <w:pStyle w:val="TaulukkoLeipteksti"/>
            </w:pPr>
            <w:r>
              <w:t>Voidaan käyttää standardihoitona myyntiluvan mukaisissa käyttöaiheissa.</w:t>
            </w:r>
          </w:p>
        </w:tc>
      </w:tr>
      <w:tr w:rsidR="00776576" w:rsidRPr="00C37B75" w14:paraId="7CD890F6" w14:textId="77777777" w:rsidTr="00F27F8D">
        <w:trPr>
          <w:trHeight w:val="289"/>
        </w:trPr>
        <w:tc>
          <w:tcPr>
            <w:tcW w:w="2538" w:type="dxa"/>
            <w:tcBorders>
              <w:top w:val="single" w:sz="8" w:space="0" w:color="2A5DA8"/>
              <w:left w:val="single" w:sz="8" w:space="0" w:color="2A5DA8"/>
              <w:bottom w:val="single" w:sz="8" w:space="0" w:color="2A5DA8"/>
              <w:right w:val="single" w:sz="4" w:space="0" w:color="2A5DA8"/>
            </w:tcBorders>
            <w:shd w:val="clear" w:color="auto" w:fill="C2D5F0"/>
            <w:noWrap/>
            <w:tcMar>
              <w:top w:w="28" w:type="dxa"/>
              <w:left w:w="28" w:type="dxa"/>
              <w:bottom w:w="28" w:type="dxa"/>
              <w:right w:w="28" w:type="dxa"/>
            </w:tcMar>
            <w:vAlign w:val="center"/>
          </w:tcPr>
          <w:p w14:paraId="7D491775" w14:textId="0B8CAFF5" w:rsidR="00776576" w:rsidRPr="00B90C5E" w:rsidRDefault="00256521" w:rsidP="00F27F8D">
            <w:pPr>
              <w:pStyle w:val="TaulukkoLeipteksti"/>
              <w:rPr>
                <w:b/>
              </w:rPr>
            </w:pPr>
            <w:r>
              <w:rPr>
                <w:b/>
              </w:rPr>
              <w:lastRenderedPageBreak/>
              <w:t xml:space="preserve"> </w:t>
            </w:r>
            <w:r w:rsidR="00776576" w:rsidRPr="00B90C5E">
              <w:rPr>
                <w:b/>
              </w:rPr>
              <w:t>Espanja (AEMPS)</w:t>
            </w:r>
          </w:p>
        </w:tc>
        <w:tc>
          <w:tcPr>
            <w:tcW w:w="4833" w:type="dxa"/>
            <w:tcBorders>
              <w:top w:val="single" w:sz="8" w:space="0" w:color="2A5DA8"/>
              <w:left w:val="single" w:sz="4" w:space="0" w:color="2A5DA8"/>
              <w:bottom w:val="single" w:sz="8" w:space="0" w:color="2A5DA8"/>
              <w:right w:val="single" w:sz="4" w:space="0" w:color="2A5DA8"/>
            </w:tcBorders>
            <w:shd w:val="clear" w:color="auto" w:fill="CEDDF2"/>
            <w:noWrap/>
            <w:tcMar>
              <w:top w:w="28" w:type="dxa"/>
              <w:left w:w="28" w:type="dxa"/>
              <w:bottom w:w="28" w:type="dxa"/>
              <w:right w:w="28" w:type="dxa"/>
            </w:tcMar>
            <w:vAlign w:val="center"/>
          </w:tcPr>
          <w:p w14:paraId="7815F157" w14:textId="77777777" w:rsidR="00776576" w:rsidRPr="00B90C5E" w:rsidRDefault="00776576" w:rsidP="00F27F8D">
            <w:pPr>
              <w:pStyle w:val="TaulukkoLeipteksti"/>
            </w:pPr>
            <w:r w:rsidRPr="00B90C5E">
              <w:t>Ei tietoa</w:t>
            </w:r>
          </w:p>
        </w:tc>
      </w:tr>
      <w:tr w:rsidR="00776576" w:rsidRPr="00C37B75" w14:paraId="47C5D201" w14:textId="77777777" w:rsidTr="00F27F8D">
        <w:trPr>
          <w:trHeight w:val="289"/>
        </w:trPr>
        <w:tc>
          <w:tcPr>
            <w:tcW w:w="2538" w:type="dxa"/>
            <w:tcBorders>
              <w:top w:val="single" w:sz="8" w:space="0" w:color="2A5DA8"/>
              <w:left w:val="single" w:sz="8" w:space="0" w:color="2A5DA8"/>
              <w:bottom w:val="single" w:sz="8" w:space="0" w:color="2A5DA8"/>
              <w:right w:val="single" w:sz="4" w:space="0" w:color="2A5DA8"/>
            </w:tcBorders>
            <w:shd w:val="clear" w:color="auto" w:fill="C2D5F0"/>
            <w:noWrap/>
            <w:tcMar>
              <w:top w:w="28" w:type="dxa"/>
              <w:left w:w="28" w:type="dxa"/>
              <w:bottom w:w="28" w:type="dxa"/>
              <w:right w:w="28" w:type="dxa"/>
            </w:tcMar>
            <w:vAlign w:val="center"/>
          </w:tcPr>
          <w:p w14:paraId="1B3E1F09" w14:textId="77777777" w:rsidR="00776576" w:rsidRPr="00DA5AE0" w:rsidRDefault="00776576" w:rsidP="00F27F8D">
            <w:pPr>
              <w:pStyle w:val="TaulukkoLeipteksti"/>
              <w:rPr>
                <w:b/>
              </w:rPr>
            </w:pPr>
            <w:r w:rsidRPr="00DA5AE0">
              <w:rPr>
                <w:b/>
              </w:rPr>
              <w:t>Irlanti (NCPE)</w:t>
            </w:r>
          </w:p>
        </w:tc>
        <w:tc>
          <w:tcPr>
            <w:tcW w:w="4833" w:type="dxa"/>
            <w:tcBorders>
              <w:top w:val="single" w:sz="8" w:space="0" w:color="2A5DA8"/>
              <w:left w:val="single" w:sz="4" w:space="0" w:color="2A5DA8"/>
              <w:bottom w:val="single" w:sz="8" w:space="0" w:color="2A5DA8"/>
              <w:right w:val="single" w:sz="4" w:space="0" w:color="2A5DA8"/>
            </w:tcBorders>
            <w:shd w:val="clear" w:color="auto" w:fill="CEDDF2"/>
            <w:noWrap/>
            <w:tcMar>
              <w:top w:w="28" w:type="dxa"/>
              <w:left w:w="28" w:type="dxa"/>
              <w:bottom w:w="28" w:type="dxa"/>
              <w:right w:w="28" w:type="dxa"/>
            </w:tcMar>
            <w:vAlign w:val="center"/>
          </w:tcPr>
          <w:p w14:paraId="393964E0" w14:textId="77777777" w:rsidR="00776576" w:rsidRPr="00B90C5E" w:rsidRDefault="00776576" w:rsidP="00F27F8D">
            <w:pPr>
              <w:pStyle w:val="TaulukkoLeipteksti"/>
            </w:pPr>
            <w:r w:rsidRPr="00B90C5E">
              <w:t>Nopea arviointi on valmistunut 19.10.2018</w:t>
            </w:r>
          </w:p>
          <w:p w14:paraId="69DFBF96" w14:textId="77777777" w:rsidR="00776576" w:rsidRPr="00B90C5E" w:rsidRDefault="00776576" w:rsidP="00F27F8D">
            <w:pPr>
              <w:pStyle w:val="TaulukkoLeipteksti"/>
            </w:pPr>
            <w:r w:rsidRPr="00B90C5E">
              <w:t>Lopputulos: HTA arviointia suositellaan</w:t>
            </w:r>
          </w:p>
        </w:tc>
      </w:tr>
      <w:tr w:rsidR="00776576" w:rsidRPr="00C37B75" w14:paraId="6172C072" w14:textId="77777777" w:rsidTr="00F27F8D">
        <w:trPr>
          <w:trHeight w:val="289"/>
        </w:trPr>
        <w:tc>
          <w:tcPr>
            <w:tcW w:w="2538" w:type="dxa"/>
            <w:tcBorders>
              <w:top w:val="single" w:sz="8" w:space="0" w:color="2A5DA8"/>
              <w:left w:val="single" w:sz="8" w:space="0" w:color="2A5DA8"/>
              <w:bottom w:val="single" w:sz="8" w:space="0" w:color="2A5DA8"/>
              <w:right w:val="single" w:sz="4" w:space="0" w:color="2A5DA8"/>
            </w:tcBorders>
            <w:shd w:val="clear" w:color="auto" w:fill="C2D5F0"/>
            <w:noWrap/>
            <w:tcMar>
              <w:top w:w="28" w:type="dxa"/>
              <w:left w:w="28" w:type="dxa"/>
              <w:bottom w:w="28" w:type="dxa"/>
              <w:right w:w="28" w:type="dxa"/>
            </w:tcMar>
            <w:vAlign w:val="center"/>
          </w:tcPr>
          <w:p w14:paraId="0B165B84" w14:textId="77777777" w:rsidR="00776576" w:rsidRPr="00B90C5E" w:rsidRDefault="00776576" w:rsidP="00F27F8D">
            <w:pPr>
              <w:pStyle w:val="TaulukkoLeipteksti"/>
              <w:rPr>
                <w:b/>
                <w:lang w:val="sv-SE"/>
              </w:rPr>
            </w:pPr>
            <w:r w:rsidRPr="00B90C5E">
              <w:rPr>
                <w:b/>
                <w:lang w:val="sv-SE"/>
              </w:rPr>
              <w:t>Italia (AIFA)</w:t>
            </w:r>
          </w:p>
        </w:tc>
        <w:tc>
          <w:tcPr>
            <w:tcW w:w="4833" w:type="dxa"/>
            <w:tcBorders>
              <w:top w:val="single" w:sz="8" w:space="0" w:color="2A5DA8"/>
              <w:left w:val="single" w:sz="4" w:space="0" w:color="2A5DA8"/>
              <w:bottom w:val="single" w:sz="8" w:space="0" w:color="2A5DA8"/>
              <w:right w:val="single" w:sz="4" w:space="0" w:color="2A5DA8"/>
            </w:tcBorders>
            <w:shd w:val="clear" w:color="auto" w:fill="CEDDF2"/>
            <w:noWrap/>
            <w:tcMar>
              <w:top w:w="28" w:type="dxa"/>
              <w:left w:w="28" w:type="dxa"/>
              <w:bottom w:w="28" w:type="dxa"/>
              <w:right w:w="28" w:type="dxa"/>
            </w:tcMar>
            <w:vAlign w:val="center"/>
          </w:tcPr>
          <w:p w14:paraId="73C180AF" w14:textId="77777777" w:rsidR="00776576" w:rsidRPr="00B90C5E" w:rsidRDefault="00776576" w:rsidP="00F27F8D">
            <w:pPr>
              <w:pStyle w:val="TaulukkoLeipteksti"/>
            </w:pPr>
            <w:r w:rsidRPr="00B90C5E">
              <w:t>Ei tietoa</w:t>
            </w:r>
          </w:p>
        </w:tc>
      </w:tr>
      <w:tr w:rsidR="00776576" w:rsidRPr="00C37B75" w14:paraId="771B3688" w14:textId="77777777" w:rsidTr="00F27F8D">
        <w:trPr>
          <w:trHeight w:val="289"/>
        </w:trPr>
        <w:tc>
          <w:tcPr>
            <w:tcW w:w="2538" w:type="dxa"/>
            <w:tcBorders>
              <w:top w:val="single" w:sz="8" w:space="0" w:color="2A5DA8"/>
              <w:left w:val="single" w:sz="8" w:space="0" w:color="2A5DA8"/>
              <w:bottom w:val="single" w:sz="8" w:space="0" w:color="2A5DA8"/>
              <w:right w:val="single" w:sz="4" w:space="0" w:color="2A5DA8"/>
            </w:tcBorders>
            <w:shd w:val="clear" w:color="auto" w:fill="C2D5F0"/>
            <w:noWrap/>
            <w:tcMar>
              <w:top w:w="28" w:type="dxa"/>
              <w:left w:w="28" w:type="dxa"/>
              <w:bottom w:w="28" w:type="dxa"/>
              <w:right w:w="28" w:type="dxa"/>
            </w:tcMar>
            <w:vAlign w:val="center"/>
          </w:tcPr>
          <w:p w14:paraId="0A4DAD75" w14:textId="77777777" w:rsidR="00776576" w:rsidRPr="00B90C5E" w:rsidRDefault="00776576" w:rsidP="00F27F8D">
            <w:pPr>
              <w:pStyle w:val="TaulukkoLeipteksti"/>
              <w:rPr>
                <w:b/>
                <w:lang w:val="sv-SE"/>
              </w:rPr>
            </w:pPr>
            <w:proofErr w:type="spellStart"/>
            <w:r w:rsidRPr="00B90C5E">
              <w:rPr>
                <w:b/>
                <w:lang w:val="sv-SE"/>
              </w:rPr>
              <w:t>Ranska</w:t>
            </w:r>
            <w:proofErr w:type="spellEnd"/>
            <w:r w:rsidRPr="00B90C5E">
              <w:rPr>
                <w:b/>
                <w:lang w:val="sv-SE"/>
              </w:rPr>
              <w:t xml:space="preserve"> (HAS)</w:t>
            </w:r>
          </w:p>
        </w:tc>
        <w:tc>
          <w:tcPr>
            <w:tcW w:w="4833" w:type="dxa"/>
            <w:tcBorders>
              <w:top w:val="single" w:sz="8" w:space="0" w:color="2A5DA8"/>
              <w:left w:val="single" w:sz="4" w:space="0" w:color="2A5DA8"/>
              <w:bottom w:val="single" w:sz="8" w:space="0" w:color="2A5DA8"/>
              <w:right w:val="single" w:sz="4" w:space="0" w:color="2A5DA8"/>
            </w:tcBorders>
            <w:shd w:val="clear" w:color="auto" w:fill="CEDDF2"/>
            <w:noWrap/>
            <w:tcMar>
              <w:top w:w="28" w:type="dxa"/>
              <w:left w:w="28" w:type="dxa"/>
              <w:bottom w:w="28" w:type="dxa"/>
              <w:right w:w="28" w:type="dxa"/>
            </w:tcMar>
            <w:vAlign w:val="center"/>
          </w:tcPr>
          <w:p w14:paraId="61042563" w14:textId="34D4AFB7" w:rsidR="00776576" w:rsidRPr="00B90C5E" w:rsidRDefault="00776576" w:rsidP="00F27F8D">
            <w:pPr>
              <w:pStyle w:val="TaulukkoLeipteksti"/>
            </w:pPr>
            <w:r w:rsidRPr="00B90C5E">
              <w:t>Ei tietoa</w:t>
            </w:r>
          </w:p>
        </w:tc>
      </w:tr>
      <w:tr w:rsidR="00776576" w:rsidRPr="00C37B75" w14:paraId="4992AA6D" w14:textId="77777777" w:rsidTr="00F27F8D">
        <w:trPr>
          <w:trHeight w:val="270"/>
        </w:trPr>
        <w:tc>
          <w:tcPr>
            <w:tcW w:w="2538" w:type="dxa"/>
            <w:tcBorders>
              <w:top w:val="single" w:sz="8" w:space="0" w:color="2A5DA8"/>
              <w:left w:val="single" w:sz="8" w:space="0" w:color="2A5DA8"/>
              <w:bottom w:val="single" w:sz="8" w:space="0" w:color="2A5DA8"/>
              <w:right w:val="single" w:sz="4" w:space="0" w:color="2A5DA8"/>
            </w:tcBorders>
            <w:shd w:val="clear" w:color="auto" w:fill="C2D5F0"/>
            <w:noWrap/>
            <w:tcMar>
              <w:top w:w="28" w:type="dxa"/>
              <w:left w:w="28" w:type="dxa"/>
              <w:bottom w:w="28" w:type="dxa"/>
              <w:right w:w="28" w:type="dxa"/>
            </w:tcMar>
            <w:vAlign w:val="center"/>
          </w:tcPr>
          <w:p w14:paraId="6A07EB00" w14:textId="77777777" w:rsidR="00776576" w:rsidRPr="00B90C5E" w:rsidRDefault="00776576" w:rsidP="00F27F8D">
            <w:pPr>
              <w:pStyle w:val="TaulukkoLeipteksti"/>
              <w:rPr>
                <w:b/>
                <w:lang w:val="de-DE"/>
              </w:rPr>
            </w:pPr>
            <w:proofErr w:type="spellStart"/>
            <w:r w:rsidRPr="00B90C5E">
              <w:rPr>
                <w:b/>
                <w:lang w:val="de-DE"/>
              </w:rPr>
              <w:t>Saksa</w:t>
            </w:r>
            <w:proofErr w:type="spellEnd"/>
            <w:r w:rsidRPr="00B90C5E">
              <w:rPr>
                <w:b/>
                <w:lang w:val="de-DE"/>
              </w:rPr>
              <w:t xml:space="preserve"> (</w:t>
            </w:r>
            <w:proofErr w:type="spellStart"/>
            <w:r w:rsidRPr="00B90C5E">
              <w:rPr>
                <w:b/>
                <w:lang w:val="de-DE"/>
              </w:rPr>
              <w:t>IQWiG</w:t>
            </w:r>
            <w:proofErr w:type="spellEnd"/>
            <w:r w:rsidRPr="00B90C5E">
              <w:rPr>
                <w:b/>
                <w:lang w:val="de-DE"/>
              </w:rPr>
              <w:t>)</w:t>
            </w:r>
          </w:p>
        </w:tc>
        <w:tc>
          <w:tcPr>
            <w:tcW w:w="4833" w:type="dxa"/>
            <w:tcBorders>
              <w:top w:val="single" w:sz="8" w:space="0" w:color="2A5DA8"/>
              <w:left w:val="single" w:sz="4" w:space="0" w:color="2A5DA8"/>
              <w:bottom w:val="single" w:sz="8" w:space="0" w:color="2A5DA8"/>
              <w:right w:val="single" w:sz="4" w:space="0" w:color="2A5DA8"/>
            </w:tcBorders>
            <w:shd w:val="clear" w:color="auto" w:fill="CEDDF2"/>
            <w:noWrap/>
            <w:tcMar>
              <w:top w:w="28" w:type="dxa"/>
              <w:left w:w="28" w:type="dxa"/>
              <w:bottom w:w="28" w:type="dxa"/>
              <w:right w:w="28" w:type="dxa"/>
            </w:tcMar>
            <w:vAlign w:val="center"/>
          </w:tcPr>
          <w:p w14:paraId="4CCF58E8" w14:textId="34CC3946" w:rsidR="00776576" w:rsidRPr="00B90C5E" w:rsidRDefault="00E93484" w:rsidP="00F27F8D">
            <w:pPr>
              <w:pStyle w:val="TaulukkoLeipteksti"/>
            </w:pPr>
            <w:r>
              <w:t>Julkaisu maaliskuussa 2019</w:t>
            </w:r>
          </w:p>
        </w:tc>
      </w:tr>
      <w:tr w:rsidR="00776576" w:rsidRPr="00C37B75" w14:paraId="78A84927" w14:textId="77777777" w:rsidTr="00F27F8D">
        <w:trPr>
          <w:trHeight w:val="289"/>
        </w:trPr>
        <w:tc>
          <w:tcPr>
            <w:tcW w:w="2538" w:type="dxa"/>
            <w:tcBorders>
              <w:top w:val="single" w:sz="8" w:space="0" w:color="2A5DA8"/>
              <w:left w:val="single" w:sz="8" w:space="0" w:color="2A5DA8"/>
              <w:bottom w:val="single" w:sz="8" w:space="0" w:color="2A5DA8"/>
              <w:right w:val="single" w:sz="4" w:space="0" w:color="2A5DA8"/>
            </w:tcBorders>
            <w:shd w:val="clear" w:color="auto" w:fill="C2D5F0"/>
            <w:noWrap/>
            <w:tcMar>
              <w:top w:w="28" w:type="dxa"/>
              <w:left w:w="28" w:type="dxa"/>
              <w:bottom w:w="28" w:type="dxa"/>
              <w:right w:w="28" w:type="dxa"/>
            </w:tcMar>
            <w:vAlign w:val="center"/>
          </w:tcPr>
          <w:p w14:paraId="1AA0F1E4" w14:textId="77777777" w:rsidR="00776576" w:rsidRPr="00B90C5E" w:rsidRDefault="00776576" w:rsidP="00F27F8D">
            <w:pPr>
              <w:pStyle w:val="TaulukkoLeipteksti"/>
              <w:rPr>
                <w:b/>
                <w:lang w:val="en-US"/>
              </w:rPr>
            </w:pPr>
            <w:proofErr w:type="spellStart"/>
            <w:r w:rsidRPr="00B90C5E">
              <w:rPr>
                <w:b/>
                <w:lang w:val="en-US"/>
              </w:rPr>
              <w:t>Skotlanti</w:t>
            </w:r>
            <w:proofErr w:type="spellEnd"/>
            <w:r w:rsidRPr="00B90C5E">
              <w:rPr>
                <w:b/>
                <w:lang w:val="en-US"/>
              </w:rPr>
              <w:t xml:space="preserve">  (SMC)</w:t>
            </w:r>
          </w:p>
        </w:tc>
        <w:tc>
          <w:tcPr>
            <w:tcW w:w="4833" w:type="dxa"/>
            <w:tcBorders>
              <w:top w:val="single" w:sz="8" w:space="0" w:color="2A5DA8"/>
              <w:left w:val="single" w:sz="4" w:space="0" w:color="2A5DA8"/>
              <w:bottom w:val="single" w:sz="8" w:space="0" w:color="2A5DA8"/>
              <w:right w:val="single" w:sz="4" w:space="0" w:color="2A5DA8"/>
            </w:tcBorders>
            <w:shd w:val="clear" w:color="auto" w:fill="CEDDF2"/>
            <w:noWrap/>
            <w:tcMar>
              <w:top w:w="28" w:type="dxa"/>
              <w:left w:w="28" w:type="dxa"/>
              <w:bottom w:w="28" w:type="dxa"/>
              <w:right w:w="28" w:type="dxa"/>
            </w:tcMar>
            <w:vAlign w:val="center"/>
          </w:tcPr>
          <w:p w14:paraId="2B6C6696" w14:textId="63FD69FE" w:rsidR="00776576" w:rsidRPr="00B90C5E" w:rsidRDefault="00E93484" w:rsidP="00E93484">
            <w:pPr>
              <w:pStyle w:val="TaulukkoLeipteksti"/>
            </w:pPr>
            <w:r>
              <w:t>Voidaan käyttää myyntiluvan mukaisessa käyttöaiheessa</w:t>
            </w:r>
          </w:p>
        </w:tc>
      </w:tr>
    </w:tbl>
    <w:p w14:paraId="6B0B5400" w14:textId="77777777" w:rsidR="00776576" w:rsidRPr="00AC246A" w:rsidRDefault="00776576" w:rsidP="00776576">
      <w:pPr>
        <w:pStyle w:val="Leipteksti"/>
        <w:rPr>
          <w:sz w:val="14"/>
          <w:szCs w:val="14"/>
        </w:rPr>
      </w:pPr>
      <w:r w:rsidRPr="001054F9">
        <w:rPr>
          <w:b/>
          <w:sz w:val="14"/>
          <w:szCs w:val="14"/>
        </w:rPr>
        <w:t>AEMPS</w:t>
      </w:r>
      <w:r w:rsidRPr="001054F9">
        <w:rPr>
          <w:sz w:val="14"/>
          <w:szCs w:val="14"/>
        </w:rPr>
        <w:t xml:space="preserve"> = </w:t>
      </w:r>
      <w:proofErr w:type="spellStart"/>
      <w:r w:rsidRPr="001054F9">
        <w:rPr>
          <w:sz w:val="14"/>
          <w:szCs w:val="14"/>
        </w:rPr>
        <w:t>Agencia</w:t>
      </w:r>
      <w:proofErr w:type="spellEnd"/>
      <w:r w:rsidRPr="001054F9">
        <w:rPr>
          <w:sz w:val="14"/>
          <w:szCs w:val="14"/>
        </w:rPr>
        <w:t xml:space="preserve"> </w:t>
      </w:r>
      <w:proofErr w:type="spellStart"/>
      <w:r w:rsidRPr="001054F9">
        <w:rPr>
          <w:sz w:val="14"/>
          <w:szCs w:val="14"/>
        </w:rPr>
        <w:t>Española</w:t>
      </w:r>
      <w:proofErr w:type="spellEnd"/>
      <w:r w:rsidRPr="001054F9">
        <w:rPr>
          <w:sz w:val="14"/>
          <w:szCs w:val="14"/>
        </w:rPr>
        <w:t xml:space="preserve"> de </w:t>
      </w:r>
      <w:proofErr w:type="spellStart"/>
      <w:r w:rsidRPr="001054F9">
        <w:rPr>
          <w:sz w:val="14"/>
          <w:szCs w:val="14"/>
        </w:rPr>
        <w:t>Medicamentos</w:t>
      </w:r>
      <w:proofErr w:type="spellEnd"/>
      <w:r w:rsidRPr="001054F9">
        <w:rPr>
          <w:sz w:val="14"/>
          <w:szCs w:val="14"/>
        </w:rPr>
        <w:t xml:space="preserve"> y </w:t>
      </w:r>
      <w:proofErr w:type="spellStart"/>
      <w:r w:rsidRPr="001054F9">
        <w:rPr>
          <w:sz w:val="14"/>
          <w:szCs w:val="14"/>
        </w:rPr>
        <w:t>Productos</w:t>
      </w:r>
      <w:proofErr w:type="spellEnd"/>
      <w:r w:rsidRPr="001054F9">
        <w:rPr>
          <w:sz w:val="14"/>
          <w:szCs w:val="14"/>
        </w:rPr>
        <w:t xml:space="preserve"> </w:t>
      </w:r>
      <w:proofErr w:type="spellStart"/>
      <w:r w:rsidRPr="001054F9">
        <w:rPr>
          <w:sz w:val="14"/>
          <w:szCs w:val="14"/>
        </w:rPr>
        <w:t>Sanitarios</w:t>
      </w:r>
      <w:proofErr w:type="spellEnd"/>
      <w:r w:rsidRPr="001054F9">
        <w:rPr>
          <w:sz w:val="14"/>
          <w:szCs w:val="14"/>
        </w:rPr>
        <w:t xml:space="preserve">; </w:t>
      </w:r>
      <w:r w:rsidRPr="001054F9">
        <w:rPr>
          <w:b/>
          <w:sz w:val="14"/>
          <w:szCs w:val="14"/>
        </w:rPr>
        <w:t>AIFA</w:t>
      </w:r>
      <w:r w:rsidRPr="001054F9">
        <w:rPr>
          <w:sz w:val="14"/>
          <w:szCs w:val="14"/>
        </w:rPr>
        <w:t xml:space="preserve"> = </w:t>
      </w:r>
      <w:proofErr w:type="spellStart"/>
      <w:r w:rsidRPr="001054F9">
        <w:rPr>
          <w:sz w:val="14"/>
          <w:szCs w:val="14"/>
        </w:rPr>
        <w:t>Agenzia</w:t>
      </w:r>
      <w:proofErr w:type="spellEnd"/>
      <w:r w:rsidRPr="001054F9">
        <w:rPr>
          <w:sz w:val="14"/>
          <w:szCs w:val="14"/>
        </w:rPr>
        <w:t xml:space="preserve"> Italiana del </w:t>
      </w:r>
      <w:proofErr w:type="spellStart"/>
      <w:r w:rsidRPr="001054F9">
        <w:rPr>
          <w:sz w:val="14"/>
          <w:szCs w:val="14"/>
        </w:rPr>
        <w:t>Farmaco</w:t>
      </w:r>
      <w:proofErr w:type="spellEnd"/>
      <w:r w:rsidRPr="001054F9">
        <w:rPr>
          <w:sz w:val="14"/>
          <w:szCs w:val="14"/>
        </w:rPr>
        <w:t xml:space="preserve">; </w:t>
      </w:r>
      <w:r w:rsidRPr="001054F9">
        <w:rPr>
          <w:b/>
          <w:sz w:val="14"/>
          <w:szCs w:val="14"/>
        </w:rPr>
        <w:t>CADTH</w:t>
      </w:r>
      <w:r w:rsidRPr="001054F9">
        <w:rPr>
          <w:sz w:val="14"/>
          <w:szCs w:val="14"/>
        </w:rPr>
        <w:t xml:space="preserve"> = Canadian </w:t>
      </w:r>
      <w:proofErr w:type="spellStart"/>
      <w:r w:rsidRPr="001054F9">
        <w:rPr>
          <w:sz w:val="14"/>
          <w:szCs w:val="14"/>
        </w:rPr>
        <w:t>Agency</w:t>
      </w:r>
      <w:proofErr w:type="spellEnd"/>
      <w:r w:rsidRPr="001054F9">
        <w:rPr>
          <w:sz w:val="14"/>
          <w:szCs w:val="14"/>
        </w:rPr>
        <w:t xml:space="preserve"> for </w:t>
      </w:r>
      <w:proofErr w:type="spellStart"/>
      <w:r w:rsidRPr="001054F9">
        <w:rPr>
          <w:sz w:val="14"/>
          <w:szCs w:val="14"/>
        </w:rPr>
        <w:t>Drugs</w:t>
      </w:r>
      <w:proofErr w:type="spellEnd"/>
      <w:r w:rsidRPr="001054F9">
        <w:rPr>
          <w:sz w:val="14"/>
          <w:szCs w:val="14"/>
        </w:rPr>
        <w:t xml:space="preserve"> and Technologies in Health; </w:t>
      </w:r>
      <w:r w:rsidRPr="001054F9">
        <w:rPr>
          <w:b/>
          <w:sz w:val="14"/>
          <w:szCs w:val="14"/>
        </w:rPr>
        <w:t>HAS</w:t>
      </w:r>
      <w:r w:rsidRPr="001054F9">
        <w:rPr>
          <w:sz w:val="14"/>
          <w:szCs w:val="14"/>
        </w:rPr>
        <w:t xml:space="preserve"> = </w:t>
      </w:r>
      <w:proofErr w:type="spellStart"/>
      <w:r w:rsidRPr="001054F9">
        <w:rPr>
          <w:sz w:val="14"/>
          <w:szCs w:val="14"/>
        </w:rPr>
        <w:t>Haute</w:t>
      </w:r>
      <w:proofErr w:type="spellEnd"/>
      <w:r w:rsidRPr="001054F9">
        <w:rPr>
          <w:sz w:val="14"/>
          <w:szCs w:val="14"/>
        </w:rPr>
        <w:t xml:space="preserve"> </w:t>
      </w:r>
      <w:proofErr w:type="spellStart"/>
      <w:r w:rsidRPr="001054F9">
        <w:rPr>
          <w:sz w:val="14"/>
          <w:szCs w:val="14"/>
        </w:rPr>
        <w:t>Autorité</w:t>
      </w:r>
      <w:proofErr w:type="spellEnd"/>
      <w:r w:rsidRPr="001054F9">
        <w:rPr>
          <w:sz w:val="14"/>
          <w:szCs w:val="14"/>
        </w:rPr>
        <w:t xml:space="preserve"> de </w:t>
      </w:r>
      <w:proofErr w:type="spellStart"/>
      <w:r w:rsidRPr="001054F9">
        <w:rPr>
          <w:sz w:val="14"/>
          <w:szCs w:val="14"/>
        </w:rPr>
        <w:t>santé</w:t>
      </w:r>
      <w:proofErr w:type="spellEnd"/>
      <w:r w:rsidRPr="001054F9">
        <w:rPr>
          <w:sz w:val="14"/>
          <w:szCs w:val="14"/>
        </w:rPr>
        <w:t xml:space="preserve">; </w:t>
      </w:r>
      <w:proofErr w:type="spellStart"/>
      <w:r w:rsidRPr="001054F9">
        <w:rPr>
          <w:b/>
          <w:sz w:val="14"/>
          <w:szCs w:val="14"/>
        </w:rPr>
        <w:t>IQWiG</w:t>
      </w:r>
      <w:proofErr w:type="spellEnd"/>
      <w:r w:rsidRPr="001054F9">
        <w:rPr>
          <w:sz w:val="14"/>
          <w:szCs w:val="14"/>
        </w:rPr>
        <w:t xml:space="preserve"> = </w:t>
      </w:r>
      <w:proofErr w:type="spellStart"/>
      <w:r w:rsidRPr="001054F9">
        <w:rPr>
          <w:sz w:val="14"/>
          <w:szCs w:val="14"/>
        </w:rPr>
        <w:t>Institut</w:t>
      </w:r>
      <w:proofErr w:type="spellEnd"/>
      <w:r w:rsidRPr="001054F9">
        <w:rPr>
          <w:sz w:val="14"/>
          <w:szCs w:val="14"/>
        </w:rPr>
        <w:t xml:space="preserve"> </w:t>
      </w:r>
      <w:proofErr w:type="spellStart"/>
      <w:r w:rsidRPr="001054F9">
        <w:rPr>
          <w:sz w:val="14"/>
          <w:szCs w:val="14"/>
        </w:rPr>
        <w:t>für</w:t>
      </w:r>
      <w:proofErr w:type="spellEnd"/>
      <w:r w:rsidRPr="001054F9">
        <w:rPr>
          <w:sz w:val="14"/>
          <w:szCs w:val="14"/>
        </w:rPr>
        <w:t xml:space="preserve"> </w:t>
      </w:r>
      <w:proofErr w:type="spellStart"/>
      <w:r w:rsidRPr="001054F9">
        <w:rPr>
          <w:sz w:val="14"/>
          <w:szCs w:val="14"/>
        </w:rPr>
        <w:t>Qualität</w:t>
      </w:r>
      <w:proofErr w:type="spellEnd"/>
      <w:r w:rsidRPr="001054F9">
        <w:rPr>
          <w:sz w:val="14"/>
          <w:szCs w:val="14"/>
        </w:rPr>
        <w:t xml:space="preserve"> </w:t>
      </w:r>
      <w:proofErr w:type="spellStart"/>
      <w:r w:rsidRPr="001054F9">
        <w:rPr>
          <w:sz w:val="14"/>
          <w:szCs w:val="14"/>
        </w:rPr>
        <w:t>und</w:t>
      </w:r>
      <w:proofErr w:type="spellEnd"/>
      <w:r w:rsidRPr="001054F9">
        <w:rPr>
          <w:sz w:val="14"/>
          <w:szCs w:val="14"/>
        </w:rPr>
        <w:t xml:space="preserve"> </w:t>
      </w:r>
      <w:proofErr w:type="spellStart"/>
      <w:r w:rsidRPr="001054F9">
        <w:rPr>
          <w:sz w:val="14"/>
          <w:szCs w:val="14"/>
        </w:rPr>
        <w:t>Wirtschaftlichkeit</w:t>
      </w:r>
      <w:proofErr w:type="spellEnd"/>
      <w:r w:rsidRPr="001054F9">
        <w:rPr>
          <w:sz w:val="14"/>
          <w:szCs w:val="14"/>
        </w:rPr>
        <w:t xml:space="preserve"> im </w:t>
      </w:r>
      <w:proofErr w:type="spellStart"/>
      <w:r w:rsidRPr="001054F9">
        <w:rPr>
          <w:sz w:val="14"/>
          <w:szCs w:val="14"/>
        </w:rPr>
        <w:t>Gesundheitswesen</w:t>
      </w:r>
      <w:proofErr w:type="spellEnd"/>
      <w:r w:rsidRPr="001054F9">
        <w:rPr>
          <w:sz w:val="14"/>
          <w:szCs w:val="14"/>
        </w:rPr>
        <w:t xml:space="preserve">; </w:t>
      </w:r>
      <w:proofErr w:type="spellStart"/>
      <w:r w:rsidRPr="001054F9">
        <w:rPr>
          <w:b/>
          <w:sz w:val="14"/>
          <w:szCs w:val="14"/>
        </w:rPr>
        <w:t>Janusinfo</w:t>
      </w:r>
      <w:proofErr w:type="spellEnd"/>
      <w:r w:rsidRPr="001054F9">
        <w:rPr>
          <w:sz w:val="14"/>
          <w:szCs w:val="14"/>
        </w:rPr>
        <w:t xml:space="preserve"> = Tukholman läänin verkkosivusto, johon on koottu riippumatonta lääkeinformaatiota; </w:t>
      </w:r>
      <w:r w:rsidRPr="001054F9">
        <w:rPr>
          <w:b/>
          <w:sz w:val="14"/>
          <w:szCs w:val="14"/>
        </w:rPr>
        <w:t>NCPE</w:t>
      </w:r>
      <w:r w:rsidRPr="001054F9">
        <w:rPr>
          <w:sz w:val="14"/>
          <w:szCs w:val="14"/>
        </w:rPr>
        <w:t xml:space="preserve"> = National Centre for </w:t>
      </w:r>
      <w:proofErr w:type="spellStart"/>
      <w:r w:rsidRPr="001054F9">
        <w:rPr>
          <w:sz w:val="14"/>
          <w:szCs w:val="14"/>
        </w:rPr>
        <w:t>Pharmacoeconomics</w:t>
      </w:r>
      <w:proofErr w:type="spellEnd"/>
      <w:r w:rsidRPr="001054F9">
        <w:rPr>
          <w:sz w:val="14"/>
          <w:szCs w:val="14"/>
        </w:rPr>
        <w:t xml:space="preserve">; </w:t>
      </w:r>
      <w:r w:rsidRPr="001054F9">
        <w:rPr>
          <w:b/>
          <w:sz w:val="14"/>
          <w:szCs w:val="14"/>
        </w:rPr>
        <w:t xml:space="preserve">NICE </w:t>
      </w:r>
      <w:r w:rsidRPr="001054F9">
        <w:rPr>
          <w:sz w:val="14"/>
          <w:szCs w:val="14"/>
        </w:rPr>
        <w:t xml:space="preserve">= National Institute for Health and Care </w:t>
      </w:r>
      <w:proofErr w:type="spellStart"/>
      <w:r w:rsidRPr="001054F9">
        <w:rPr>
          <w:sz w:val="14"/>
          <w:szCs w:val="14"/>
        </w:rPr>
        <w:t>Excellence</w:t>
      </w:r>
      <w:proofErr w:type="spellEnd"/>
      <w:r w:rsidRPr="001054F9">
        <w:rPr>
          <w:sz w:val="14"/>
          <w:szCs w:val="14"/>
        </w:rPr>
        <w:t xml:space="preserve">; </w:t>
      </w:r>
      <w:r w:rsidRPr="001054F9">
        <w:rPr>
          <w:b/>
          <w:sz w:val="14"/>
          <w:szCs w:val="14"/>
        </w:rPr>
        <w:t>NT</w:t>
      </w:r>
      <w:r w:rsidRPr="001054F9">
        <w:rPr>
          <w:sz w:val="14"/>
          <w:szCs w:val="14"/>
        </w:rPr>
        <w:t xml:space="preserve"> = </w:t>
      </w:r>
      <w:proofErr w:type="spellStart"/>
      <w:r w:rsidRPr="001054F9">
        <w:rPr>
          <w:sz w:val="14"/>
          <w:szCs w:val="14"/>
        </w:rPr>
        <w:t>nya</w:t>
      </w:r>
      <w:proofErr w:type="spellEnd"/>
      <w:r w:rsidRPr="001054F9">
        <w:rPr>
          <w:sz w:val="14"/>
          <w:szCs w:val="14"/>
        </w:rPr>
        <w:t xml:space="preserve"> </w:t>
      </w:r>
      <w:proofErr w:type="spellStart"/>
      <w:r w:rsidRPr="001054F9">
        <w:rPr>
          <w:sz w:val="14"/>
          <w:szCs w:val="14"/>
        </w:rPr>
        <w:t>terapier</w:t>
      </w:r>
      <w:proofErr w:type="spellEnd"/>
      <w:r w:rsidRPr="001054F9">
        <w:rPr>
          <w:sz w:val="14"/>
          <w:szCs w:val="14"/>
        </w:rPr>
        <w:t xml:space="preserve">; </w:t>
      </w:r>
      <w:r w:rsidRPr="001054F9">
        <w:rPr>
          <w:b/>
          <w:sz w:val="14"/>
          <w:szCs w:val="14"/>
        </w:rPr>
        <w:t>SMC</w:t>
      </w:r>
      <w:r w:rsidRPr="001054F9">
        <w:rPr>
          <w:sz w:val="14"/>
          <w:szCs w:val="14"/>
        </w:rPr>
        <w:t xml:space="preserve"> =</w:t>
      </w:r>
      <w:r>
        <w:rPr>
          <w:sz w:val="14"/>
          <w:szCs w:val="14"/>
        </w:rPr>
        <w:t xml:space="preserve"> </w:t>
      </w:r>
      <w:proofErr w:type="spellStart"/>
      <w:r>
        <w:rPr>
          <w:sz w:val="14"/>
          <w:szCs w:val="14"/>
        </w:rPr>
        <w:t>Scottish</w:t>
      </w:r>
      <w:proofErr w:type="spellEnd"/>
      <w:r>
        <w:rPr>
          <w:sz w:val="14"/>
          <w:szCs w:val="14"/>
        </w:rPr>
        <w:t xml:space="preserve"> </w:t>
      </w:r>
      <w:proofErr w:type="spellStart"/>
      <w:r>
        <w:rPr>
          <w:sz w:val="14"/>
          <w:szCs w:val="14"/>
        </w:rPr>
        <w:t>Medicine</w:t>
      </w:r>
      <w:proofErr w:type="spellEnd"/>
      <w:r>
        <w:rPr>
          <w:sz w:val="14"/>
          <w:szCs w:val="14"/>
        </w:rPr>
        <w:t xml:space="preserve"> </w:t>
      </w:r>
      <w:proofErr w:type="spellStart"/>
      <w:r>
        <w:rPr>
          <w:sz w:val="14"/>
          <w:szCs w:val="14"/>
        </w:rPr>
        <w:t>Consortium</w:t>
      </w:r>
      <w:proofErr w:type="spellEnd"/>
      <w:r>
        <w:rPr>
          <w:sz w:val="14"/>
          <w:szCs w:val="14"/>
        </w:rPr>
        <w:t xml:space="preserve">. </w:t>
      </w:r>
    </w:p>
    <w:p w14:paraId="7EE1B54E" w14:textId="77777777" w:rsidR="00122E73" w:rsidRDefault="00122E73" w:rsidP="00E0652B">
      <w:pPr>
        <w:pStyle w:val="Otsikko2"/>
      </w:pPr>
      <w:bookmarkStart w:id="15" w:name="_Toc496005789"/>
      <w:bookmarkStart w:id="16" w:name="_Toc535066133"/>
      <w:r w:rsidRPr="00122E73">
        <w:t>Intervention sisällöstä</w:t>
      </w:r>
      <w:bookmarkEnd w:id="15"/>
      <w:bookmarkEnd w:id="16"/>
    </w:p>
    <w:p w14:paraId="1126A7E7" w14:textId="77777777" w:rsidR="00A44912" w:rsidRDefault="00A44912" w:rsidP="00A44912"/>
    <w:p w14:paraId="7EE1B54F" w14:textId="79D4E1A1" w:rsidR="00122E73" w:rsidRDefault="00801E5C" w:rsidP="001C7825">
      <w:pPr>
        <w:ind w:left="2608"/>
      </w:pPr>
      <w:r>
        <w:t>Lääkkeen</w:t>
      </w:r>
      <w:r w:rsidR="00A44912">
        <w:t xml:space="preserve"> vaikuttava aine on </w:t>
      </w:r>
      <w:proofErr w:type="spellStart"/>
      <w:r w:rsidR="00A44912">
        <w:t>tisagenlekleuseeli</w:t>
      </w:r>
      <w:proofErr w:type="spellEnd"/>
      <w:r w:rsidR="00A44912">
        <w:t>. Kyseessä on CAR-T-soluhoito, jossa potilaan omasta elimistöstä peräisin olevia T-soluja on geneettisesti muokattu tunnistamaan CD19-antigeenia ilmentäviä soluja ja tuhoamaan niitä. CD19-antigeenejä on sekä normaalien B-solujen että varhaisesta B-solulinjasta peräisin olevien syöpäsolujen pinnalla.</w:t>
      </w:r>
    </w:p>
    <w:p w14:paraId="70CE6D83" w14:textId="77777777" w:rsidR="001C7825" w:rsidRDefault="001C7825" w:rsidP="001C7825">
      <w:pPr>
        <w:ind w:left="2608"/>
      </w:pPr>
    </w:p>
    <w:p w14:paraId="3A4C32DA" w14:textId="6FF51471" w:rsidR="001C7825" w:rsidRPr="00122E73" w:rsidRDefault="001C7825" w:rsidP="001C7825">
      <w:pPr>
        <w:ind w:left="2608"/>
        <w:rPr>
          <w:rFonts w:eastAsia="MS PGothic" w:cs="Times New Roman"/>
        </w:rPr>
      </w:pPr>
      <w:proofErr w:type="spellStart"/>
      <w:r>
        <w:t>Tisagenlekleuseelia</w:t>
      </w:r>
      <w:proofErr w:type="spellEnd"/>
      <w:r>
        <w:t xml:space="preserve">, sen vaikutusmekanismia ja valmistusta on kuvattu yksityiskohtaisemmin </w:t>
      </w:r>
      <w:proofErr w:type="spellStart"/>
      <w:r>
        <w:t>Fimean</w:t>
      </w:r>
      <w:proofErr w:type="spellEnd"/>
      <w:r>
        <w:t xml:space="preserve"> arviointiraportissa (luku 2.1, s. 11–12) </w:t>
      </w:r>
      <w:proofErr w:type="gramStart"/>
      <w:r>
        <w:t>ja  valmisteyhteenvedossa</w:t>
      </w:r>
      <w:proofErr w:type="gramEnd"/>
      <w:r>
        <w:t>.</w:t>
      </w:r>
    </w:p>
    <w:p w14:paraId="7EE1B55A" w14:textId="77777777" w:rsidR="00122E73" w:rsidRPr="00122E73" w:rsidRDefault="00122E73" w:rsidP="00122E73">
      <w:pPr>
        <w:ind w:left="2608"/>
        <w:rPr>
          <w:rFonts w:eastAsia="MS PGothic" w:cs="Times New Roman"/>
        </w:rPr>
      </w:pPr>
    </w:p>
    <w:p w14:paraId="7EE1B55B" w14:textId="77777777" w:rsidR="00122E73" w:rsidRDefault="00DD0692" w:rsidP="00E0652B">
      <w:pPr>
        <w:pStyle w:val="Otsikko2"/>
      </w:pPr>
      <w:bookmarkStart w:id="17" w:name="_Toc535066134"/>
      <w:r>
        <w:t>Vaihtoehdot interventiolle</w:t>
      </w:r>
      <w:bookmarkEnd w:id="17"/>
    </w:p>
    <w:p w14:paraId="2B821FF0" w14:textId="77777777" w:rsidR="00A44912" w:rsidRDefault="00A44912" w:rsidP="00A44912"/>
    <w:p w14:paraId="7EE1B55C" w14:textId="4D968733" w:rsidR="00DD0692" w:rsidRDefault="00A44912" w:rsidP="001C7825">
      <w:pPr>
        <w:ind w:left="2608"/>
      </w:pPr>
      <w:r w:rsidRPr="00A44912">
        <w:t xml:space="preserve">Ainoa mahdollisesti parantava hoitovaihtoehto potilaille, jotka soveltuisivat </w:t>
      </w:r>
      <w:proofErr w:type="spellStart"/>
      <w:r w:rsidR="00801E5C" w:rsidRPr="00801E5C">
        <w:t>tisagenlekleuseeli</w:t>
      </w:r>
      <w:proofErr w:type="spellEnd"/>
      <w:r w:rsidRPr="00A44912">
        <w:t xml:space="preserve">-hoitoon, on </w:t>
      </w:r>
      <w:proofErr w:type="spellStart"/>
      <w:r w:rsidRPr="00A44912">
        <w:t>allogeeninen</w:t>
      </w:r>
      <w:proofErr w:type="spellEnd"/>
      <w:r w:rsidRPr="00A44912">
        <w:t xml:space="preserve"> kantasolusiirto riittävän edeltävän sytostaattihoidon jälkeen. </w:t>
      </w:r>
      <w:proofErr w:type="spellStart"/>
      <w:r w:rsidRPr="00A44912">
        <w:t>Allogeenisessä</w:t>
      </w:r>
      <w:proofErr w:type="spellEnd"/>
      <w:r w:rsidRPr="00A44912">
        <w:t xml:space="preserve"> kantasolusiirrossa siirre kerätään terveeltä, kudostyypiltään sopivalta luovuttajalta. Mikäli tauti on uusiutunut ensimmäisen kantasolusiirron jälkeen, pyritään lapsipotilaille tekemään toinen siirto, mutta toista luovuttajaa ja siirrettä voi kuitenkin olla vaikea löytää. Lisäksi siirron edellytyksenä on, että tautitaakka on saatu painettua hyvin alhaiseksi (jäännöstauti alle 0,01 %), ja tämä on usein </w:t>
      </w:r>
      <w:r w:rsidR="002B5D88">
        <w:t>vaikeaa</w:t>
      </w:r>
      <w:r w:rsidRPr="00A44912">
        <w:t xml:space="preserve">. </w:t>
      </w:r>
      <w:proofErr w:type="spellStart"/>
      <w:r w:rsidR="000462EC">
        <w:t>Fimean</w:t>
      </w:r>
      <w:proofErr w:type="spellEnd"/>
      <w:r w:rsidR="000462EC">
        <w:t xml:space="preserve"> käyttämien k</w:t>
      </w:r>
      <w:r w:rsidR="000462EC" w:rsidRPr="00A44912">
        <w:t xml:space="preserve">liinisten </w:t>
      </w:r>
      <w:r w:rsidRPr="00A44912">
        <w:t>asiantuntijoiden mukaan nuorille aikuisille ei yleensä tehdä toista kantasolusiirtoa, koska sen tulokset on todettu huonoksi.</w:t>
      </w:r>
    </w:p>
    <w:p w14:paraId="44A97F89" w14:textId="77777777" w:rsidR="00F5791B" w:rsidRDefault="00F5791B" w:rsidP="001C7825">
      <w:pPr>
        <w:ind w:left="2608"/>
      </w:pPr>
    </w:p>
    <w:p w14:paraId="358E7B78" w14:textId="66F7F76D" w:rsidR="00F5791B" w:rsidRDefault="00F5791B" w:rsidP="001C7825">
      <w:pPr>
        <w:ind w:left="2608"/>
      </w:pPr>
      <w:r w:rsidRPr="00F5791B">
        <w:t xml:space="preserve">Ennen kantasolusiirtoa potilaille annetaan siltahoito, jonka tavoite on saada potilas syvään remissioon (ns. jäännöstauti alle 0,01 %). Siltahoito räätälöidään potilaskohtaisesti ja se voidaan toteuttaa esimerkiksi </w:t>
      </w:r>
      <w:proofErr w:type="spellStart"/>
      <w:r w:rsidRPr="00F5791B">
        <w:t>klofarabiini</w:t>
      </w:r>
      <w:proofErr w:type="spellEnd"/>
      <w:r w:rsidRPr="00F5791B">
        <w:t>-yhdistelmähoidolla (</w:t>
      </w:r>
      <w:proofErr w:type="spellStart"/>
      <w:r w:rsidRPr="00F5791B">
        <w:t>klofarabiini</w:t>
      </w:r>
      <w:proofErr w:type="spellEnd"/>
      <w:r w:rsidRPr="00F5791B">
        <w:t xml:space="preserve"> + </w:t>
      </w:r>
      <w:proofErr w:type="spellStart"/>
      <w:r w:rsidRPr="00F5791B">
        <w:t>syklofosfamidi</w:t>
      </w:r>
      <w:proofErr w:type="spellEnd"/>
      <w:r w:rsidRPr="00F5791B">
        <w:t xml:space="preserve"> + </w:t>
      </w:r>
      <w:proofErr w:type="spellStart"/>
      <w:r w:rsidRPr="00F5791B">
        <w:t>etoposidi</w:t>
      </w:r>
      <w:proofErr w:type="spellEnd"/>
      <w:r w:rsidRPr="00F5791B">
        <w:t>) tai korkea-anno</w:t>
      </w:r>
      <w:r w:rsidR="00F7430E">
        <w:t>ksisella</w:t>
      </w:r>
      <w:r w:rsidRPr="00F5791B">
        <w:t xml:space="preserve"> </w:t>
      </w:r>
      <w:proofErr w:type="spellStart"/>
      <w:r w:rsidRPr="00F5791B">
        <w:t>sytarabiini</w:t>
      </w:r>
      <w:proofErr w:type="spellEnd"/>
      <w:r w:rsidRPr="00F5791B">
        <w:t xml:space="preserve">- tai </w:t>
      </w:r>
      <w:proofErr w:type="spellStart"/>
      <w:r w:rsidRPr="00F5791B">
        <w:t>metotreksaattihoidolla</w:t>
      </w:r>
      <w:proofErr w:type="spellEnd"/>
      <w:r w:rsidRPr="00F5791B">
        <w:t>.</w:t>
      </w:r>
      <w:r w:rsidR="00D935B7">
        <w:t xml:space="preserve"> </w:t>
      </w:r>
      <w:r w:rsidRPr="00F5791B">
        <w:t>Hoidon valintaan vaikuttavat esimerkiksi potilaan saamat aiemmat hoidot, niillä saavutettu vaste ja haittavaikutukset.</w:t>
      </w:r>
    </w:p>
    <w:p w14:paraId="65F68A52" w14:textId="77777777" w:rsidR="001C7825" w:rsidRDefault="001C7825" w:rsidP="001C7825">
      <w:pPr>
        <w:ind w:left="2608"/>
      </w:pPr>
    </w:p>
    <w:p w14:paraId="3E255331" w14:textId="507EBDF9" w:rsidR="001C7825" w:rsidRPr="00DD0692" w:rsidRDefault="001C7825" w:rsidP="001C7825">
      <w:pPr>
        <w:ind w:left="2608"/>
      </w:pPr>
      <w:r>
        <w:lastRenderedPageBreak/>
        <w:t xml:space="preserve">B-solulinjan </w:t>
      </w:r>
      <w:proofErr w:type="spellStart"/>
      <w:r>
        <w:t>ALL:n</w:t>
      </w:r>
      <w:proofErr w:type="spellEnd"/>
      <w:r>
        <w:t xml:space="preserve"> hoitoa lapsilla ja nuorilla aikuisilla on kuvattu yksityiskohtaisemmin </w:t>
      </w:r>
      <w:proofErr w:type="spellStart"/>
      <w:r>
        <w:t>Fimean</w:t>
      </w:r>
      <w:proofErr w:type="spellEnd"/>
      <w:r>
        <w:t xml:space="preserve"> arviointiraportissa (luku 2.2, s. 13–14)</w:t>
      </w:r>
      <w:r w:rsidR="00BC3A7B">
        <w:t>.</w:t>
      </w:r>
    </w:p>
    <w:p w14:paraId="7EE1B562" w14:textId="77777777" w:rsidR="00122E73" w:rsidRPr="00122E73" w:rsidRDefault="00122E73" w:rsidP="00DD0692">
      <w:pPr>
        <w:ind w:left="2608"/>
        <w:contextualSpacing/>
        <w:rPr>
          <w:rFonts w:cs="Times New Roman"/>
        </w:rPr>
      </w:pPr>
    </w:p>
    <w:p w14:paraId="7EE1B563" w14:textId="77777777" w:rsidR="00DD0692" w:rsidRDefault="00DD0692" w:rsidP="00E0652B">
      <w:pPr>
        <w:pStyle w:val="Otsikko2"/>
      </w:pPr>
      <w:bookmarkStart w:id="18" w:name="_Toc500150788"/>
      <w:bookmarkStart w:id="19" w:name="_Toc535066135"/>
      <w:r w:rsidRPr="00DD0692">
        <w:t>Terveysongelman ja intervention käytön yleisyys</w:t>
      </w:r>
      <w:bookmarkEnd w:id="18"/>
      <w:bookmarkEnd w:id="19"/>
    </w:p>
    <w:p w14:paraId="592511A1" w14:textId="77777777" w:rsidR="00A44912" w:rsidRDefault="00A44912" w:rsidP="00A44912"/>
    <w:p w14:paraId="7EE1B564" w14:textId="6735D946" w:rsidR="00122E73" w:rsidRPr="00122E73" w:rsidRDefault="00A44912" w:rsidP="001C7825">
      <w:pPr>
        <w:ind w:left="2608"/>
        <w:rPr>
          <w:rFonts w:eastAsia="MS PGothic" w:cs="Times New Roman"/>
        </w:rPr>
      </w:pPr>
      <w:proofErr w:type="spellStart"/>
      <w:r>
        <w:t>Fimean</w:t>
      </w:r>
      <w:proofErr w:type="spellEnd"/>
      <w:r>
        <w:t xml:space="preserve"> arvion mukaan </w:t>
      </w:r>
      <w:proofErr w:type="spellStart"/>
      <w:r w:rsidR="00801E5C" w:rsidRPr="00801E5C">
        <w:t>tisagenlekleuseeli</w:t>
      </w:r>
      <w:proofErr w:type="spellEnd"/>
      <w:r>
        <w:t>-hoitoon soveltuisi Suomessa 4–8 potilasta vuodessa.</w:t>
      </w:r>
    </w:p>
    <w:p w14:paraId="7EE1B56D" w14:textId="77777777" w:rsidR="00122E73" w:rsidRPr="00122E73" w:rsidRDefault="00122E73" w:rsidP="00122E73">
      <w:pPr>
        <w:ind w:left="2608"/>
        <w:rPr>
          <w:rFonts w:eastAsia="MS PGothic" w:cs="Times New Roman"/>
        </w:rPr>
      </w:pPr>
    </w:p>
    <w:p w14:paraId="7EE1B56E" w14:textId="6F61F6B0" w:rsidR="00122E73" w:rsidRDefault="00DD0692" w:rsidP="00E0652B">
      <w:pPr>
        <w:pStyle w:val="Otsikko2"/>
      </w:pPr>
      <w:bookmarkStart w:id="20" w:name="_Toc535066136"/>
      <w:bookmarkStart w:id="21" w:name="_Toc478461281"/>
      <w:r>
        <w:t>Intervention vaikuttavuu</w:t>
      </w:r>
      <w:r w:rsidR="003629D9">
        <w:t>s</w:t>
      </w:r>
      <w:bookmarkEnd w:id="20"/>
    </w:p>
    <w:p w14:paraId="5423BED9" w14:textId="77777777" w:rsidR="00AA3982" w:rsidRDefault="00AA3982" w:rsidP="00AA3982"/>
    <w:p w14:paraId="0B29494E" w14:textId="293918C2" w:rsidR="006562BC" w:rsidRDefault="00AA3982" w:rsidP="001C7825">
      <w:pPr>
        <w:ind w:left="2608"/>
      </w:pPr>
      <w:r w:rsidRPr="00AA3982">
        <w:t xml:space="preserve">Näyttö </w:t>
      </w:r>
      <w:proofErr w:type="spellStart"/>
      <w:r w:rsidR="00801E5C" w:rsidRPr="00801E5C">
        <w:t>tisagenlekleuseeli</w:t>
      </w:r>
      <w:proofErr w:type="spellEnd"/>
      <w:r w:rsidRPr="00AA3982">
        <w:t>-</w:t>
      </w:r>
      <w:r w:rsidR="00801E5C">
        <w:t>lääkkee</w:t>
      </w:r>
      <w:r w:rsidRPr="00AA3982">
        <w:t xml:space="preserve">n tehosta ja turvallisuudesta B-solulinjan </w:t>
      </w:r>
      <w:proofErr w:type="spellStart"/>
      <w:r w:rsidRPr="00AA3982">
        <w:t>ALL:n</w:t>
      </w:r>
      <w:proofErr w:type="spellEnd"/>
      <w:r w:rsidRPr="00AA3982">
        <w:t xml:space="preserve"> hoidossa perustuu yhteen faasin II päätutkimukseen (ELIANA) ja kahteen muuhun tutkimukseen (ENSIGN- ja B2101J). </w:t>
      </w:r>
      <w:r w:rsidR="006562BC">
        <w:t>Tutkimuksia ja niiden tuloksia on kuvattu yk</w:t>
      </w:r>
      <w:r w:rsidR="00BC3A7B">
        <w:t>s</w:t>
      </w:r>
      <w:r w:rsidR="006562BC">
        <w:t xml:space="preserve">ityiskohtaisemmin </w:t>
      </w:r>
      <w:proofErr w:type="spellStart"/>
      <w:r w:rsidR="006562BC">
        <w:t>Fimean</w:t>
      </w:r>
      <w:proofErr w:type="spellEnd"/>
      <w:r w:rsidR="006562BC">
        <w:t xml:space="preserve"> arviointiraportissa (luku 3, s. 15–26)</w:t>
      </w:r>
      <w:r w:rsidR="00BC3A7B">
        <w:t>.</w:t>
      </w:r>
    </w:p>
    <w:p w14:paraId="3770E7CF" w14:textId="77777777" w:rsidR="006562BC" w:rsidRDefault="006562BC" w:rsidP="001C7825">
      <w:pPr>
        <w:ind w:left="2608"/>
      </w:pPr>
    </w:p>
    <w:p w14:paraId="7A5D5AED" w14:textId="539DAFD2" w:rsidR="00AA3982" w:rsidRDefault="00AA3982" w:rsidP="001C7825">
      <w:pPr>
        <w:ind w:left="2608"/>
      </w:pPr>
      <w:r w:rsidRPr="00AA3982">
        <w:t xml:space="preserve">ELIANA-tutkimukseen otettiin mukaan 92 lasta ja nuorta (3–25-vuotta), joista 75 sai </w:t>
      </w:r>
      <w:proofErr w:type="spellStart"/>
      <w:r w:rsidR="00801E5C" w:rsidRPr="00801E5C">
        <w:t>tisagenlekleuseeli</w:t>
      </w:r>
      <w:proofErr w:type="spellEnd"/>
      <w:r w:rsidRPr="00AA3982">
        <w:t>-infuusion. Infuusion saaneista potilaista 60 % saavutti täydellisen remission (CR) ja 21 % täydelli</w:t>
      </w:r>
      <w:r w:rsidR="000B2771">
        <w:t>s</w:t>
      </w:r>
      <w:r w:rsidRPr="00AA3982">
        <w:t>en remissio</w:t>
      </w:r>
      <w:r w:rsidR="000B2771">
        <w:t>n</w:t>
      </w:r>
      <w:r w:rsidRPr="00AA3982">
        <w:t xml:space="preserve"> ilman veriarvojen korjaantumista (</w:t>
      </w:r>
      <w:proofErr w:type="spellStart"/>
      <w:r w:rsidRPr="00AA3982">
        <w:t>CRi</w:t>
      </w:r>
      <w:proofErr w:type="spellEnd"/>
      <w:r w:rsidRPr="00AA3982">
        <w:t>)</w:t>
      </w:r>
      <w:r>
        <w:t xml:space="preserve"> kolmen kuukauden kuluessa infuusiosta</w:t>
      </w:r>
      <w:r w:rsidRPr="00AA3982">
        <w:t>. Kokonaisremissio-osuus (ORR) tutkimuksessa oli 81 %. ENSIGN- ja B2101J-tutkimuksen tulokset ovat samansuuntaisia.</w:t>
      </w:r>
    </w:p>
    <w:p w14:paraId="47AF53E5" w14:textId="77777777" w:rsidR="00AA3982" w:rsidRDefault="00AA3982" w:rsidP="00AA3982"/>
    <w:p w14:paraId="20739ABD" w14:textId="1CC468B4" w:rsidR="00AA3982" w:rsidRDefault="00AA3982" w:rsidP="001C7825">
      <w:pPr>
        <w:ind w:left="2608"/>
      </w:pPr>
      <w:r w:rsidRPr="00AA3982">
        <w:t xml:space="preserve">ELIANA-tutkimuksessa </w:t>
      </w:r>
      <w:proofErr w:type="spellStart"/>
      <w:r w:rsidR="00801E5C" w:rsidRPr="00801E5C">
        <w:t>tisagenlekleuseeli</w:t>
      </w:r>
      <w:proofErr w:type="spellEnd"/>
      <w:r w:rsidRPr="00AA3982">
        <w:t>-infuusion saaneiden potilaiden (n = 75)</w:t>
      </w:r>
      <w:r>
        <w:t xml:space="preserve"> </w:t>
      </w:r>
      <w:proofErr w:type="spellStart"/>
      <w:r w:rsidRPr="00AA3982">
        <w:t>elossaoloajan</w:t>
      </w:r>
      <w:proofErr w:type="spellEnd"/>
      <w:r w:rsidRPr="00AA3982">
        <w:t xml:space="preserve"> mediaani oli 19,1 kuukautta. Potilaista 90 % oli elossa 6 kuukauden ja 76 % 12 kuukauden kuluttua infuusiosta.</w:t>
      </w:r>
      <w:r>
        <w:t xml:space="preserve"> </w:t>
      </w:r>
      <w:r w:rsidRPr="00AA3982">
        <w:t xml:space="preserve">ENSIGN- ja B2101J-tutkimuksissa on mukana osin erilaisia potilaita kuin ELIANA-tutkimuksessa. Se voi vaikuttaa merkittävästi potilaiden </w:t>
      </w:r>
      <w:proofErr w:type="spellStart"/>
      <w:r w:rsidRPr="00AA3982">
        <w:t>elossaoloennusteeseen</w:t>
      </w:r>
      <w:proofErr w:type="spellEnd"/>
      <w:r w:rsidRPr="00AA3982">
        <w:t xml:space="preserve">. Sen vuoksi tuloksia ei voi suoraan rinnastaa toisiinsa. ENSIGN-tutkimuksen potilaista 63 % oli elossa 12 </w:t>
      </w:r>
      <w:r>
        <w:t>kuukauden kuluttua infuusiosta</w:t>
      </w:r>
      <w:r w:rsidRPr="00AA3982">
        <w:t>. Va</w:t>
      </w:r>
      <w:r>
        <w:t xml:space="preserve">staavasti B2101J-tutkimuksessa </w:t>
      </w:r>
      <w:r w:rsidRPr="00AA3982">
        <w:t xml:space="preserve">86 % potilaista oli elossa 12 kuukauden kuluttua.  </w:t>
      </w:r>
    </w:p>
    <w:p w14:paraId="0B1555D9" w14:textId="77777777" w:rsidR="006562BC" w:rsidRDefault="006562BC" w:rsidP="001C7825">
      <w:pPr>
        <w:ind w:left="2608"/>
      </w:pPr>
    </w:p>
    <w:p w14:paraId="0D23E270" w14:textId="709605B3" w:rsidR="00D935B7" w:rsidRDefault="006562BC" w:rsidP="001C7825">
      <w:pPr>
        <w:ind w:left="2608"/>
      </w:pPr>
      <w:r>
        <w:rPr>
          <w:szCs w:val="18"/>
        </w:rPr>
        <w:t>Kliinisen näytön keskeiset rajoitukset ovat yksihaarainen tutkimusasetelma ilman vertailuryhmää ja lyhyt seuranta-aika.</w:t>
      </w:r>
      <w:r w:rsidR="00FF3BEA">
        <w:rPr>
          <w:szCs w:val="18"/>
        </w:rPr>
        <w:t xml:space="preserve"> Tutkimusnäyttöä ei ole alle 3-vuotiaista potilaista.</w:t>
      </w:r>
      <w:r>
        <w:rPr>
          <w:szCs w:val="18"/>
        </w:rPr>
        <w:t xml:space="preserve"> Toistaiseksi ei </w:t>
      </w:r>
      <w:r w:rsidR="00FF3BEA">
        <w:rPr>
          <w:szCs w:val="18"/>
        </w:rPr>
        <w:t xml:space="preserve">myöskään ole </w:t>
      </w:r>
      <w:r>
        <w:rPr>
          <w:szCs w:val="18"/>
        </w:rPr>
        <w:t>tied</w:t>
      </w:r>
      <w:r w:rsidR="00FF3BEA">
        <w:rPr>
          <w:szCs w:val="18"/>
        </w:rPr>
        <w:t>ossa</w:t>
      </w:r>
      <w:r>
        <w:rPr>
          <w:szCs w:val="18"/>
        </w:rPr>
        <w:t xml:space="preserve"> kuinka suurella osalla potilaista tauti uusiutuu pidemmän seuranta-ajan kuluessa tai tarvitaan vielä kantasolusiirto. Lisäksi on epäselvää, kuinka suuri osuus potilaista on elossa esimerkiksi kolmen tai viiden vuoden kuluttua hoidosta ja millainen ennuste heillä tämän jälkeen on</w:t>
      </w:r>
      <w:r w:rsidR="00BC3A7B">
        <w:rPr>
          <w:szCs w:val="18"/>
        </w:rPr>
        <w:t>.</w:t>
      </w:r>
    </w:p>
    <w:p w14:paraId="64F1D5D7" w14:textId="77777777" w:rsidR="00D935B7" w:rsidRPr="00AA3982" w:rsidRDefault="00D935B7" w:rsidP="001C7825">
      <w:pPr>
        <w:ind w:left="2608"/>
      </w:pPr>
    </w:p>
    <w:p w14:paraId="7EE1B56F" w14:textId="184FEEC0" w:rsidR="00122E73" w:rsidRPr="00122E73" w:rsidRDefault="00122E73" w:rsidP="00BC7AC8">
      <w:pPr>
        <w:ind w:left="2608"/>
        <w:rPr>
          <w:rFonts w:cs="Times New Roman"/>
          <w:sz w:val="20"/>
          <w:szCs w:val="20"/>
        </w:rPr>
      </w:pPr>
    </w:p>
    <w:p w14:paraId="7EE1B57F" w14:textId="77777777" w:rsidR="00122E73" w:rsidRPr="00122E73" w:rsidRDefault="00122E73" w:rsidP="00E0652B">
      <w:pPr>
        <w:pStyle w:val="Otsikko2"/>
      </w:pPr>
      <w:bookmarkStart w:id="22" w:name="_Toc496005793"/>
      <w:bookmarkStart w:id="23" w:name="_Toc535066137"/>
      <w:r w:rsidRPr="00122E73">
        <w:lastRenderedPageBreak/>
        <w:t xml:space="preserve">Intervention </w:t>
      </w:r>
      <w:bookmarkEnd w:id="21"/>
      <w:bookmarkEnd w:id="22"/>
      <w:r w:rsidR="00DD0692">
        <w:t>turvallisuus</w:t>
      </w:r>
      <w:bookmarkEnd w:id="23"/>
    </w:p>
    <w:p w14:paraId="7EE1B580" w14:textId="77777777" w:rsidR="00122E73" w:rsidRDefault="00122E73" w:rsidP="00122E73">
      <w:pPr>
        <w:rPr>
          <w:rFonts w:cs="Times New Roman"/>
          <w:szCs w:val="20"/>
        </w:rPr>
      </w:pPr>
    </w:p>
    <w:p w14:paraId="638373E1" w14:textId="171AC0F9" w:rsidR="00AA3982" w:rsidRDefault="00102326" w:rsidP="006562BC">
      <w:pPr>
        <w:ind w:left="2608"/>
        <w:rPr>
          <w:rFonts w:cs="Times New Roman"/>
          <w:szCs w:val="20"/>
        </w:rPr>
      </w:pPr>
      <w:r>
        <w:rPr>
          <w:rFonts w:cs="Times New Roman"/>
          <w:szCs w:val="20"/>
        </w:rPr>
        <w:t>Hoidon vaikutusmekanismista johtuva</w:t>
      </w:r>
      <w:r w:rsidR="00FF3BEA">
        <w:rPr>
          <w:rFonts w:cs="Times New Roman"/>
          <w:szCs w:val="20"/>
        </w:rPr>
        <w:t xml:space="preserve">a </w:t>
      </w:r>
      <w:proofErr w:type="spellStart"/>
      <w:r w:rsidR="00FF3BEA">
        <w:rPr>
          <w:rFonts w:cs="Times New Roman"/>
          <w:szCs w:val="20"/>
        </w:rPr>
        <w:t>sytokiinioireyhtymää</w:t>
      </w:r>
      <w:proofErr w:type="spellEnd"/>
      <w:r w:rsidR="00FF3BEA">
        <w:rPr>
          <w:rFonts w:cs="Times New Roman"/>
          <w:szCs w:val="20"/>
        </w:rPr>
        <w:t xml:space="preserve"> rapor</w:t>
      </w:r>
      <w:r w:rsidR="00F5791B">
        <w:rPr>
          <w:rFonts w:cs="Times New Roman"/>
          <w:szCs w:val="20"/>
        </w:rPr>
        <w:t>toi</w:t>
      </w:r>
      <w:r w:rsidR="00FF3BEA">
        <w:rPr>
          <w:rFonts w:cs="Times New Roman"/>
          <w:szCs w:val="20"/>
        </w:rPr>
        <w:t>tiin ELIANA</w:t>
      </w:r>
      <w:r w:rsidR="00AA3982" w:rsidRPr="00AA3982">
        <w:rPr>
          <w:rFonts w:cs="Times New Roman"/>
          <w:szCs w:val="20"/>
        </w:rPr>
        <w:t xml:space="preserve">-tutkimuksessa 77 %:lla ja 47 %:lla </w:t>
      </w:r>
      <w:r w:rsidR="00FF3BEA">
        <w:rPr>
          <w:rFonts w:cs="Times New Roman"/>
          <w:szCs w:val="20"/>
        </w:rPr>
        <w:t xml:space="preserve">tämä </w:t>
      </w:r>
      <w:r w:rsidR="00AA3982" w:rsidRPr="00AA3982">
        <w:rPr>
          <w:rFonts w:cs="Times New Roman"/>
          <w:szCs w:val="20"/>
        </w:rPr>
        <w:t>reaktio oli vaikea tai henkeä uhkaava. Neurologisia haittoja ilmaantui 40 %:lla potilaista (13 %:lla vaikea tai henkeä uhkaava) kahdeksan viikon kuluessa infuusiosta.</w:t>
      </w:r>
    </w:p>
    <w:p w14:paraId="3D32577F" w14:textId="6CDA5D8B" w:rsidR="000B5331" w:rsidRDefault="000B5331" w:rsidP="006562BC">
      <w:pPr>
        <w:ind w:left="2608"/>
        <w:rPr>
          <w:rFonts w:cs="Times New Roman"/>
          <w:szCs w:val="20"/>
        </w:rPr>
      </w:pPr>
    </w:p>
    <w:p w14:paraId="10438CC5" w14:textId="2ACCA3F9" w:rsidR="000B5331" w:rsidRDefault="000B5331" w:rsidP="006562BC">
      <w:pPr>
        <w:ind w:left="2608"/>
        <w:rPr>
          <w:rFonts w:cs="Times New Roman"/>
          <w:szCs w:val="20"/>
        </w:rPr>
      </w:pPr>
      <w:r>
        <w:rPr>
          <w:rFonts w:cs="Times New Roman"/>
          <w:szCs w:val="20"/>
        </w:rPr>
        <w:t xml:space="preserve">Myyntiluvan myöntämisen perusteena olleiden tutkimusten mukaan 14,2 % tutkimuksiin mukaan otetuista potilaista kuoli ennen kuin lääke ehdittiin antaa heille. Kuolemat johtuivat pääosin taudin etenemisestä tai infektioista. </w:t>
      </w:r>
      <w:r w:rsidR="00EB5E1A" w:rsidRPr="005C1608">
        <w:rPr>
          <w:rFonts w:cs="Times New Roman"/>
          <w:szCs w:val="20"/>
        </w:rPr>
        <w:t>Suurin osa lääkkeen antamisen jälkeisistä kuolemista johtui taudin etenemisestä</w:t>
      </w:r>
      <w:r w:rsidR="005C1608" w:rsidRPr="005C1608">
        <w:rPr>
          <w:rFonts w:cs="Times New Roman"/>
          <w:szCs w:val="20"/>
        </w:rPr>
        <w:t xml:space="preserve"> tai verenkiertoon liittyvistä tekijöistä</w:t>
      </w:r>
      <w:r w:rsidR="00EB5E1A" w:rsidRPr="005C1608">
        <w:rPr>
          <w:rFonts w:cs="Times New Roman"/>
          <w:szCs w:val="20"/>
        </w:rPr>
        <w:t xml:space="preserve">. </w:t>
      </w:r>
    </w:p>
    <w:p w14:paraId="07BB5B4E" w14:textId="77777777" w:rsidR="00256521" w:rsidRPr="005C1608" w:rsidRDefault="00256521" w:rsidP="006562BC">
      <w:pPr>
        <w:ind w:left="2608"/>
        <w:rPr>
          <w:rFonts w:cs="Times New Roman"/>
          <w:szCs w:val="20"/>
        </w:rPr>
      </w:pPr>
    </w:p>
    <w:p w14:paraId="0179B61D" w14:textId="301EB504" w:rsidR="006562BC" w:rsidRPr="00122E73" w:rsidRDefault="00801E5C" w:rsidP="00122E73">
      <w:pPr>
        <w:ind w:left="2608"/>
        <w:rPr>
          <w:rFonts w:eastAsia="MS PGothic" w:cs="Times New Roman"/>
        </w:rPr>
      </w:pPr>
      <w:proofErr w:type="spellStart"/>
      <w:r>
        <w:rPr>
          <w:rFonts w:eastAsia="MS PGothic" w:cs="Times New Roman"/>
        </w:rPr>
        <w:t>T</w:t>
      </w:r>
      <w:r w:rsidRPr="00801E5C">
        <w:rPr>
          <w:rFonts w:eastAsia="MS PGothic" w:cs="Times New Roman"/>
        </w:rPr>
        <w:t>isagenlekleuseeli</w:t>
      </w:r>
      <w:proofErr w:type="spellEnd"/>
      <w:r w:rsidR="006562BC">
        <w:rPr>
          <w:rFonts w:eastAsia="MS PGothic" w:cs="Times New Roman"/>
        </w:rPr>
        <w:t>-hoidon</w:t>
      </w:r>
      <w:r w:rsidR="00F234AC">
        <w:rPr>
          <w:rFonts w:eastAsia="MS PGothic" w:cs="Times New Roman"/>
        </w:rPr>
        <w:t xml:space="preserve"> turvallisuutta on käsitelty yk</w:t>
      </w:r>
      <w:r w:rsidR="006562BC">
        <w:rPr>
          <w:rFonts w:eastAsia="MS PGothic" w:cs="Times New Roman"/>
        </w:rPr>
        <w:t>s</w:t>
      </w:r>
      <w:r w:rsidR="00F234AC">
        <w:rPr>
          <w:rFonts w:eastAsia="MS PGothic" w:cs="Times New Roman"/>
        </w:rPr>
        <w:t>i</w:t>
      </w:r>
      <w:r w:rsidR="006562BC">
        <w:rPr>
          <w:rFonts w:eastAsia="MS PGothic" w:cs="Times New Roman"/>
        </w:rPr>
        <w:t xml:space="preserve">tyiskohtaisemmin </w:t>
      </w:r>
      <w:proofErr w:type="spellStart"/>
      <w:r w:rsidR="006562BC">
        <w:rPr>
          <w:rFonts w:eastAsia="MS PGothic" w:cs="Times New Roman"/>
        </w:rPr>
        <w:t>Fimean</w:t>
      </w:r>
      <w:proofErr w:type="spellEnd"/>
      <w:r w:rsidR="006562BC">
        <w:rPr>
          <w:rFonts w:eastAsia="MS PGothic" w:cs="Times New Roman"/>
        </w:rPr>
        <w:t xml:space="preserve"> arviointiraportissa (luku 3.5, s. 23–24)</w:t>
      </w:r>
      <w:r w:rsidR="00BC3A7B">
        <w:rPr>
          <w:rFonts w:eastAsia="MS PGothic" w:cs="Times New Roman"/>
        </w:rPr>
        <w:t>.</w:t>
      </w:r>
    </w:p>
    <w:p w14:paraId="7EE1B583" w14:textId="77777777" w:rsidR="00E0652B" w:rsidRPr="00122E73" w:rsidRDefault="00E0652B" w:rsidP="00E0652B">
      <w:pPr>
        <w:pStyle w:val="Otsikko2"/>
      </w:pPr>
      <w:bookmarkStart w:id="24" w:name="_Toc500150791"/>
      <w:r>
        <w:t xml:space="preserve"> </w:t>
      </w:r>
      <w:bookmarkStart w:id="25" w:name="_Toc535066138"/>
      <w:r w:rsidRPr="00122E73">
        <w:t>Intervention kustannukset ja budjettivaikutukset</w:t>
      </w:r>
      <w:bookmarkEnd w:id="24"/>
      <w:bookmarkEnd w:id="25"/>
    </w:p>
    <w:p w14:paraId="7EE1B584" w14:textId="77777777" w:rsidR="00122E73" w:rsidRPr="00E0652B" w:rsidRDefault="00122E73" w:rsidP="00E0652B">
      <w:pPr>
        <w:rPr>
          <w:rFonts w:cs="Times New Roman"/>
          <w:szCs w:val="20"/>
        </w:rPr>
      </w:pPr>
    </w:p>
    <w:p w14:paraId="7EE1B596" w14:textId="6D5BD0FC" w:rsidR="00122E73" w:rsidRPr="006562BC" w:rsidRDefault="00256521" w:rsidP="00122E73">
      <w:pPr>
        <w:ind w:left="2608"/>
        <w:rPr>
          <w:rFonts w:cs="Times New Roman"/>
          <w:szCs w:val="20"/>
        </w:rPr>
      </w:pPr>
      <w:bookmarkStart w:id="26" w:name="_Toc478461290"/>
      <w:proofErr w:type="spellStart"/>
      <w:r w:rsidRPr="00256521">
        <w:rPr>
          <w:rFonts w:cs="Times New Roman"/>
          <w:szCs w:val="20"/>
        </w:rPr>
        <w:t>Tisagenlekleuseeli</w:t>
      </w:r>
      <w:proofErr w:type="spellEnd"/>
      <w:r>
        <w:rPr>
          <w:rFonts w:cs="Times New Roman"/>
          <w:szCs w:val="20"/>
        </w:rPr>
        <w:t>-lääkkeen</w:t>
      </w:r>
      <w:r w:rsidR="00AA3982" w:rsidRPr="006562BC">
        <w:rPr>
          <w:rFonts w:cs="Times New Roman"/>
          <w:szCs w:val="20"/>
        </w:rPr>
        <w:t xml:space="preserve"> </w:t>
      </w:r>
      <w:r w:rsidR="003B22E8">
        <w:rPr>
          <w:rFonts w:cs="Times New Roman"/>
          <w:szCs w:val="20"/>
        </w:rPr>
        <w:t>tukkumyynti</w:t>
      </w:r>
      <w:r w:rsidR="00AA3982" w:rsidRPr="006562BC">
        <w:rPr>
          <w:rFonts w:cs="Times New Roman"/>
          <w:szCs w:val="20"/>
        </w:rPr>
        <w:t xml:space="preserve">hinta on 320 000 €. Lääkkeen hinnan lisäksi yhden potilaan hoitoon liittyy noin 130 000 € muita kustannuksia ensimmäisen hoitovuoden aikana. Kustannukset syntyvät </w:t>
      </w:r>
      <w:r w:rsidR="00102326">
        <w:rPr>
          <w:rFonts w:cs="Times New Roman"/>
          <w:szCs w:val="20"/>
        </w:rPr>
        <w:t>valkosolu</w:t>
      </w:r>
      <w:r w:rsidR="0021757C">
        <w:rPr>
          <w:rFonts w:cs="Times New Roman"/>
          <w:szCs w:val="20"/>
        </w:rPr>
        <w:t>jen</w:t>
      </w:r>
      <w:r w:rsidR="00102326">
        <w:rPr>
          <w:rFonts w:cs="Times New Roman"/>
          <w:szCs w:val="20"/>
        </w:rPr>
        <w:t xml:space="preserve"> poista</w:t>
      </w:r>
      <w:r w:rsidR="0021757C">
        <w:rPr>
          <w:rFonts w:cs="Times New Roman"/>
          <w:szCs w:val="20"/>
        </w:rPr>
        <w:t>m</w:t>
      </w:r>
      <w:r w:rsidR="00102326">
        <w:rPr>
          <w:rFonts w:cs="Times New Roman"/>
          <w:szCs w:val="20"/>
        </w:rPr>
        <w:t>isesta verestä (</w:t>
      </w:r>
      <w:proofErr w:type="spellStart"/>
      <w:r w:rsidR="00AA3982" w:rsidRPr="006562BC">
        <w:rPr>
          <w:rFonts w:cs="Times New Roman"/>
          <w:szCs w:val="20"/>
        </w:rPr>
        <w:t>leukafereesista</w:t>
      </w:r>
      <w:proofErr w:type="spellEnd"/>
      <w:r w:rsidR="00102326">
        <w:rPr>
          <w:rFonts w:cs="Times New Roman"/>
          <w:szCs w:val="20"/>
        </w:rPr>
        <w:t>)</w:t>
      </w:r>
      <w:r w:rsidR="00AA3982" w:rsidRPr="006562BC">
        <w:rPr>
          <w:rFonts w:cs="Times New Roman"/>
          <w:szCs w:val="20"/>
        </w:rPr>
        <w:t xml:space="preserve">, infuusiota edeltävästä </w:t>
      </w:r>
      <w:r w:rsidR="00102326">
        <w:rPr>
          <w:rFonts w:cs="Times New Roman"/>
          <w:szCs w:val="20"/>
        </w:rPr>
        <w:t>imusoluja poistava</w:t>
      </w:r>
      <w:r w:rsidR="0021757C">
        <w:rPr>
          <w:rFonts w:cs="Times New Roman"/>
          <w:szCs w:val="20"/>
        </w:rPr>
        <w:t>sta</w:t>
      </w:r>
      <w:r w:rsidR="00AA3982" w:rsidRPr="006562BC">
        <w:rPr>
          <w:rFonts w:cs="Times New Roman"/>
          <w:szCs w:val="20"/>
        </w:rPr>
        <w:t xml:space="preserve"> hoidosta, sairaalahoidosta, haittavaikutusten hoidosta sekä osalle potilaista vielä mahdollisesti tehtävästä kantasolusiirrosta.</w:t>
      </w:r>
    </w:p>
    <w:p w14:paraId="7A988D67" w14:textId="78843966" w:rsidR="006562BC" w:rsidRDefault="00E0652B" w:rsidP="006562BC">
      <w:pPr>
        <w:pStyle w:val="Otsikko2"/>
      </w:pPr>
      <w:bookmarkStart w:id="27" w:name="_Toc535066139"/>
      <w:r>
        <w:t>Intervention kustannusvaikuttavuus</w:t>
      </w:r>
      <w:bookmarkEnd w:id="27"/>
    </w:p>
    <w:p w14:paraId="68DD9EEC" w14:textId="77777777" w:rsidR="00AA3982" w:rsidRDefault="00AA3982" w:rsidP="00AA3982"/>
    <w:p w14:paraId="7EE1B598" w14:textId="13791C83" w:rsidR="00E0652B" w:rsidRDefault="00AA3982" w:rsidP="006562BC">
      <w:pPr>
        <w:ind w:left="2608"/>
      </w:pPr>
      <w:proofErr w:type="spellStart"/>
      <w:r w:rsidRPr="00D0034F">
        <w:t>Fimean</w:t>
      </w:r>
      <w:proofErr w:type="spellEnd"/>
      <w:r w:rsidRPr="00D0034F">
        <w:t xml:space="preserve"> arvion mukaan yksi </w:t>
      </w:r>
      <w:proofErr w:type="spellStart"/>
      <w:r w:rsidR="00256521">
        <w:t>t</w:t>
      </w:r>
      <w:r w:rsidR="00256521" w:rsidRPr="00256521">
        <w:t>isagenlekleuseeli</w:t>
      </w:r>
      <w:proofErr w:type="spellEnd"/>
      <w:r w:rsidRPr="00D0034F">
        <w:t xml:space="preserve">-hoidolla saavutettu </w:t>
      </w:r>
      <w:r w:rsidR="00BC7AC8">
        <w:t>laatupainotettu elinvuosi (</w:t>
      </w:r>
      <w:r w:rsidRPr="00D0034F">
        <w:t>QALY</w:t>
      </w:r>
      <w:r w:rsidR="00BC7AC8">
        <w:t>)</w:t>
      </w:r>
      <w:r w:rsidRPr="00D0034F">
        <w:t xml:space="preserve"> maksaa 45 200 € </w:t>
      </w:r>
      <w:proofErr w:type="spellStart"/>
      <w:r w:rsidRPr="00D0034F">
        <w:t>klofarabiini</w:t>
      </w:r>
      <w:proofErr w:type="spellEnd"/>
      <w:r w:rsidRPr="00D0034F">
        <w:t xml:space="preserve">-yhdistelmähoitoon </w:t>
      </w:r>
      <w:r>
        <w:t>(jonka jälke</w:t>
      </w:r>
      <w:r w:rsidR="003B22E8">
        <w:t>en 40 % potilaista saa kantasolu</w:t>
      </w:r>
      <w:r>
        <w:t xml:space="preserve">siirron) </w:t>
      </w:r>
      <w:r w:rsidRPr="00D0034F">
        <w:t>verrattuna.</w:t>
      </w:r>
      <w:r w:rsidR="00823086">
        <w:t xml:space="preserve"> </w:t>
      </w:r>
      <w:r w:rsidR="0035747B">
        <w:t xml:space="preserve">Kustannusvaikuttavuusarvioon liittyy merkittävää epävarmuutta johtuen ensisijaisesti kliinisen näytön rajoituksista. </w:t>
      </w:r>
      <w:r>
        <w:t>Epävarmuudesta johtuen kustannusvaikuttavuusanalyysin tulosten hyödynnettävyys on rajallinen.</w:t>
      </w:r>
    </w:p>
    <w:p w14:paraId="54128C46" w14:textId="77777777" w:rsidR="006562BC" w:rsidRDefault="006562BC" w:rsidP="006562BC">
      <w:pPr>
        <w:ind w:left="2608"/>
      </w:pPr>
    </w:p>
    <w:p w14:paraId="47101FA8" w14:textId="36E8D32C" w:rsidR="00391A26" w:rsidRPr="006562BC" w:rsidRDefault="00391A26" w:rsidP="00E0652B">
      <w:pPr>
        <w:autoSpaceDE w:val="0"/>
        <w:autoSpaceDN w:val="0"/>
        <w:adjustRightInd w:val="0"/>
        <w:ind w:left="2608"/>
        <w:rPr>
          <w:rFonts w:ascii="Arial" w:eastAsiaTheme="minorHAnsi" w:hAnsi="Arial"/>
          <w:b/>
          <w:sz w:val="18"/>
          <w:szCs w:val="22"/>
          <w:lang w:eastAsia="en-US"/>
        </w:rPr>
      </w:pPr>
      <w:bookmarkStart w:id="28" w:name="_Toc478461299"/>
      <w:bookmarkStart w:id="29" w:name="_Toc496005797"/>
      <w:bookmarkEnd w:id="26"/>
      <w:proofErr w:type="spellStart"/>
      <w:r>
        <w:t>Fimean</w:t>
      </w:r>
      <w:proofErr w:type="spellEnd"/>
      <w:r>
        <w:t xml:space="preserve"> arvio </w:t>
      </w:r>
      <w:proofErr w:type="spellStart"/>
      <w:r w:rsidR="0085347A">
        <w:t>tisagenlekleuseeli</w:t>
      </w:r>
      <w:proofErr w:type="spellEnd"/>
      <w:r w:rsidR="0085347A">
        <w:t>-</w:t>
      </w:r>
      <w:r>
        <w:t>hoidon kustannusvaikuttavuud</w:t>
      </w:r>
      <w:r w:rsidR="00A03B33">
        <w:t>e</w:t>
      </w:r>
      <w:r>
        <w:t xml:space="preserve">sta perustuu myyntiluvan haltijan toimittamaan kustannusvaikuttavuusmalliin. </w:t>
      </w:r>
      <w:proofErr w:type="spellStart"/>
      <w:r>
        <w:t>Fimea</w:t>
      </w:r>
      <w:proofErr w:type="spellEnd"/>
      <w:r>
        <w:t xml:space="preserve"> on muuttanut mallissa joitain </w:t>
      </w:r>
      <w:proofErr w:type="spellStart"/>
      <w:r>
        <w:t>parametrejä</w:t>
      </w:r>
      <w:proofErr w:type="spellEnd"/>
      <w:r>
        <w:t xml:space="preserve"> ja oletuksia</w:t>
      </w:r>
      <w:r w:rsidR="00BC7AC8">
        <w:t xml:space="preserve"> vastaamaan asiantunti</w:t>
      </w:r>
      <w:r w:rsidR="00476ECB">
        <w:t xml:space="preserve">joiden ja </w:t>
      </w:r>
      <w:proofErr w:type="spellStart"/>
      <w:r w:rsidR="00476ECB">
        <w:t>Fim</w:t>
      </w:r>
      <w:r w:rsidR="00BC7AC8">
        <w:t>ean</w:t>
      </w:r>
      <w:proofErr w:type="spellEnd"/>
      <w:r w:rsidR="00BC7AC8">
        <w:t xml:space="preserve"> arviointiryhmän näkemyksiä</w:t>
      </w:r>
      <w:r w:rsidR="005C1608">
        <w:t xml:space="preserve">. </w:t>
      </w:r>
      <w:proofErr w:type="spellStart"/>
      <w:r w:rsidR="00256521">
        <w:t>Fimean</w:t>
      </w:r>
      <w:proofErr w:type="spellEnd"/>
      <w:r w:rsidR="00256521">
        <w:t xml:space="preserve"> arviointiraportissa on kuvattu</w:t>
      </w:r>
      <w:r w:rsidRPr="00391A26">
        <w:t xml:space="preserve"> myyntiluvan haltijan kustannusvaikuttavuusanalyysin menetelmiä ja tuloksia</w:t>
      </w:r>
      <w:r w:rsidR="00256521">
        <w:t xml:space="preserve"> </w:t>
      </w:r>
      <w:r>
        <w:t>(luku</w:t>
      </w:r>
      <w:r w:rsidRPr="00391A26">
        <w:t xml:space="preserve"> 4.1</w:t>
      </w:r>
      <w:r>
        <w:t xml:space="preserve"> ja 4.2, s. 27–37). </w:t>
      </w:r>
      <w:proofErr w:type="gramStart"/>
      <w:r>
        <w:t xml:space="preserve">Samoin </w:t>
      </w:r>
      <w:r w:rsidRPr="00391A26">
        <w:t xml:space="preserve"> </w:t>
      </w:r>
      <w:proofErr w:type="spellStart"/>
      <w:r w:rsidRPr="00391A26">
        <w:t>Fimean</w:t>
      </w:r>
      <w:proofErr w:type="spellEnd"/>
      <w:proofErr w:type="gramEnd"/>
      <w:r w:rsidRPr="00391A26">
        <w:t xml:space="preserve"> kommentit myyntiluvan haltijan analyysiin ja tuloksiin</w:t>
      </w:r>
      <w:r>
        <w:t xml:space="preserve"> (luku 4.3, s. 37–38) sekä </w:t>
      </w:r>
      <w:proofErr w:type="spellStart"/>
      <w:r w:rsidRPr="00391A26">
        <w:t>Fimean</w:t>
      </w:r>
      <w:proofErr w:type="spellEnd"/>
      <w:r w:rsidRPr="00391A26">
        <w:t xml:space="preserve"> arvio </w:t>
      </w:r>
      <w:proofErr w:type="spellStart"/>
      <w:r w:rsidR="0085347A" w:rsidRPr="0085347A">
        <w:t>tisagenlekleuseeli</w:t>
      </w:r>
      <w:proofErr w:type="spellEnd"/>
      <w:r w:rsidRPr="00391A26">
        <w:t>-hoidon kustannusvaikuttavuudesta myyntiluvan haltijan malliin pohjautuen (luku 4.4</w:t>
      </w:r>
      <w:r>
        <w:t>, s. 39–42</w:t>
      </w:r>
      <w:r w:rsidRPr="00391A26">
        <w:t>).</w:t>
      </w:r>
    </w:p>
    <w:p w14:paraId="7EE1B5BB" w14:textId="77777777" w:rsidR="00E0652B" w:rsidRPr="006562BC" w:rsidRDefault="00E0652B" w:rsidP="00E0652B">
      <w:pPr>
        <w:autoSpaceDE w:val="0"/>
        <w:autoSpaceDN w:val="0"/>
        <w:adjustRightInd w:val="0"/>
        <w:ind w:left="2608"/>
        <w:rPr>
          <w:rFonts w:ascii="Arial" w:eastAsiaTheme="minorHAnsi" w:hAnsi="Arial"/>
          <w:b/>
          <w:sz w:val="18"/>
          <w:szCs w:val="22"/>
          <w:lang w:eastAsia="en-US"/>
        </w:rPr>
      </w:pPr>
    </w:p>
    <w:p w14:paraId="7EE1B5BC" w14:textId="5A1F238F" w:rsidR="00AE707F" w:rsidRPr="00122E73" w:rsidRDefault="00AE707F" w:rsidP="00AE707F">
      <w:pPr>
        <w:pStyle w:val="Otsikko2"/>
      </w:pPr>
      <w:bookmarkStart w:id="30" w:name="_Toc500150793"/>
      <w:bookmarkStart w:id="31" w:name="_Toc535066140"/>
      <w:bookmarkEnd w:id="28"/>
      <w:bookmarkEnd w:id="29"/>
      <w:r w:rsidRPr="00122E73">
        <w:t xml:space="preserve">Eettinen </w:t>
      </w:r>
      <w:bookmarkEnd w:id="30"/>
      <w:r w:rsidR="00CC4219">
        <w:t>tarkastelu</w:t>
      </w:r>
      <w:bookmarkEnd w:id="31"/>
    </w:p>
    <w:p w14:paraId="7EE1B5BD" w14:textId="746C80E7" w:rsidR="00AE707F" w:rsidRPr="00BC41C6" w:rsidRDefault="00AE707F" w:rsidP="00AE707F">
      <w:pPr>
        <w:rPr>
          <w:rFonts w:cs="Times New Roman"/>
        </w:rPr>
      </w:pPr>
    </w:p>
    <w:p w14:paraId="019A2458" w14:textId="7F273731" w:rsidR="00BC41C6" w:rsidRPr="00BC41C6" w:rsidRDefault="002016BE" w:rsidP="00AE707F">
      <w:pPr>
        <w:rPr>
          <w:rFonts w:cs="Times New Roman"/>
          <w:i/>
        </w:rPr>
      </w:pPr>
      <w:r>
        <w:rPr>
          <w:rFonts w:cs="Times New Roman"/>
          <w:i/>
        </w:rPr>
        <w:tab/>
      </w:r>
      <w:r>
        <w:rPr>
          <w:rFonts w:cs="Times New Roman"/>
          <w:i/>
        </w:rPr>
        <w:tab/>
      </w:r>
      <w:r w:rsidR="00BC41C6" w:rsidRPr="00BC41C6">
        <w:rPr>
          <w:rFonts w:cs="Times New Roman"/>
          <w:i/>
        </w:rPr>
        <w:t>Oikeudenmukaisuus</w:t>
      </w:r>
    </w:p>
    <w:p w14:paraId="2C34C36D" w14:textId="77777777" w:rsidR="00BC41C6" w:rsidRDefault="00BC41C6" w:rsidP="00AE707F">
      <w:pPr>
        <w:rPr>
          <w:rFonts w:cs="Times New Roman"/>
        </w:rPr>
      </w:pPr>
    </w:p>
    <w:p w14:paraId="51CE389D" w14:textId="77777777" w:rsidR="00BC41C6" w:rsidRDefault="00BC41C6" w:rsidP="00F12F8E">
      <w:pPr>
        <w:ind w:left="2608"/>
        <w:rPr>
          <w:rFonts w:cs="Times New Roman"/>
        </w:rPr>
      </w:pPr>
      <w:r w:rsidRPr="00BC41C6">
        <w:rPr>
          <w:rFonts w:cs="Times New Roman"/>
        </w:rPr>
        <w:t>Yhteiskunnassa rajalliset voimavarat pyritään jakamaan oikeudenmukaisesti terveydenhuoltopalveluita</w:t>
      </w:r>
      <w:r>
        <w:rPr>
          <w:rFonts w:cs="Times New Roman"/>
        </w:rPr>
        <w:t xml:space="preserve"> tarvitsevien kesken. Tärkeää on taata yhtäläinen käyttömahdollisuus yhtäläisessä tarpeessa oleville. Tästä seuraa, että hoitoon käytettävät kustannukset voivat ja saavat vaihdella potilasryhmien välillä.</w:t>
      </w:r>
    </w:p>
    <w:p w14:paraId="318385A2" w14:textId="77777777" w:rsidR="00BC41C6" w:rsidRDefault="00BC41C6" w:rsidP="00F12F8E">
      <w:pPr>
        <w:ind w:left="2608"/>
        <w:rPr>
          <w:rFonts w:cs="Times New Roman"/>
        </w:rPr>
      </w:pPr>
    </w:p>
    <w:p w14:paraId="22728B63" w14:textId="19023286" w:rsidR="00F12F8E" w:rsidRDefault="00BC41C6" w:rsidP="00F12F8E">
      <w:pPr>
        <w:ind w:left="2608"/>
        <w:rPr>
          <w:rFonts w:cs="Times New Roman"/>
        </w:rPr>
      </w:pPr>
      <w:r>
        <w:rPr>
          <w:rFonts w:cs="Times New Roman"/>
        </w:rPr>
        <w:t xml:space="preserve">Terveydenhuollon kulloinkin käytettävissä olevat voimavarat voidaan käyttää vaihtoehtoisilla tavoilla terveyshyötyjen aikaan saamiseksi. Rajalliset voimavarat tulisi käyttää niin, että niillä saataisiin mahdollisimman paljon terveyshyötyä. Jos terveydenhuollon voimavarat käytetään hoitomenetelmiin, </w:t>
      </w:r>
      <w:r w:rsidR="00B2133C">
        <w:rPr>
          <w:rFonts w:cs="Times New Roman"/>
        </w:rPr>
        <w:t>joiden kustannukset saavutettav</w:t>
      </w:r>
      <w:r>
        <w:rPr>
          <w:rFonts w:cs="Times New Roman"/>
        </w:rPr>
        <w:t xml:space="preserve">iin hyötyihin nähden ovat korkeat, menetetään ne terveyshyödyt, jotka vastaavalla voimavarojen käytöllä muissa tilanteissa </w:t>
      </w:r>
      <w:r w:rsidR="00F12F8E">
        <w:rPr>
          <w:rFonts w:cs="Times New Roman"/>
        </w:rPr>
        <w:t>voitaisiin saada.</w:t>
      </w:r>
    </w:p>
    <w:p w14:paraId="3CA2371E" w14:textId="77777777" w:rsidR="00F12F8E" w:rsidRDefault="00F12F8E" w:rsidP="00F12F8E">
      <w:pPr>
        <w:ind w:left="2608"/>
        <w:rPr>
          <w:rFonts w:cs="Times New Roman"/>
        </w:rPr>
      </w:pPr>
    </w:p>
    <w:p w14:paraId="3CF29FE9" w14:textId="1487BA8B" w:rsidR="00F12F8E" w:rsidRDefault="00B2133C" w:rsidP="00F12F8E">
      <w:pPr>
        <w:ind w:left="2608"/>
        <w:rPr>
          <w:rFonts w:cs="Times New Roman"/>
        </w:rPr>
      </w:pPr>
      <w:proofErr w:type="spellStart"/>
      <w:r>
        <w:rPr>
          <w:rFonts w:cs="Times New Roman"/>
        </w:rPr>
        <w:t>Tisagenlekleuseelihoidolla</w:t>
      </w:r>
      <w:proofErr w:type="spellEnd"/>
      <w:r>
        <w:rPr>
          <w:rFonts w:cs="Times New Roman"/>
        </w:rPr>
        <w:t xml:space="preserve"> saavutetut hoitotulokset </w:t>
      </w:r>
      <w:r w:rsidR="00C30D89">
        <w:rPr>
          <w:rFonts w:cs="Times New Roman"/>
        </w:rPr>
        <w:t>B-solulinjan ALL hoidossa</w:t>
      </w:r>
      <w:r w:rsidR="00D85BE2">
        <w:rPr>
          <w:rFonts w:cs="Times New Roman"/>
        </w:rPr>
        <w:t xml:space="preserve"> </w:t>
      </w:r>
      <w:r>
        <w:rPr>
          <w:rFonts w:cs="Times New Roman"/>
        </w:rPr>
        <w:t>koskevat potilasryhmä</w:t>
      </w:r>
      <w:r w:rsidR="0012104E">
        <w:rPr>
          <w:rFonts w:cs="Times New Roman"/>
        </w:rPr>
        <w:t>ä, jonka ennuste on huono ja jo</w:t>
      </w:r>
      <w:r>
        <w:rPr>
          <w:rFonts w:cs="Times New Roman"/>
        </w:rPr>
        <w:t xml:space="preserve">lle on vain vähän hoitovaihtoehtoja. </w:t>
      </w:r>
      <w:r w:rsidR="00D85BE2">
        <w:rPr>
          <w:rFonts w:cs="Times New Roman"/>
        </w:rPr>
        <w:t xml:space="preserve">Tässä käyttöaiheessa hoito on suunnattu lapsille ja nuorille aikuisille. Hoidon tulosten </w:t>
      </w:r>
      <w:r w:rsidR="008D3233">
        <w:rPr>
          <w:rFonts w:cs="Times New Roman"/>
        </w:rPr>
        <w:t xml:space="preserve">kliinistä </w:t>
      </w:r>
      <w:r w:rsidR="00D85BE2">
        <w:rPr>
          <w:rFonts w:cs="Times New Roman"/>
        </w:rPr>
        <w:t>vaikuttavuutta ja</w:t>
      </w:r>
      <w:r>
        <w:rPr>
          <w:rFonts w:cs="Times New Roman"/>
        </w:rPr>
        <w:t xml:space="preserve"> hoidollisen arvon määrittämistä rajoittavat </w:t>
      </w:r>
      <w:r w:rsidR="00645F6C">
        <w:rPr>
          <w:rFonts w:cs="Times New Roman"/>
        </w:rPr>
        <w:t xml:space="preserve">nyt arvioitujen </w:t>
      </w:r>
      <w:r>
        <w:rPr>
          <w:rFonts w:cs="Times New Roman"/>
        </w:rPr>
        <w:t xml:space="preserve">tutkimusten seuranta-aikojen lyhyt kesto ja se, että hoitoa ei ole verrattu </w:t>
      </w:r>
      <w:r w:rsidR="00D85BE2">
        <w:rPr>
          <w:rFonts w:cs="Times New Roman"/>
        </w:rPr>
        <w:t xml:space="preserve">muihin </w:t>
      </w:r>
      <w:r>
        <w:rPr>
          <w:rFonts w:cs="Times New Roman"/>
        </w:rPr>
        <w:t>hoitovaihtoehtoihin tutkimusasetelmassa.</w:t>
      </w:r>
    </w:p>
    <w:p w14:paraId="489B9DD5" w14:textId="3F81717F" w:rsidR="00645F6C" w:rsidRDefault="00645F6C" w:rsidP="00F12F8E">
      <w:pPr>
        <w:ind w:left="2608"/>
        <w:rPr>
          <w:rFonts w:cs="Times New Roman"/>
        </w:rPr>
      </w:pPr>
    </w:p>
    <w:p w14:paraId="63EBF75E" w14:textId="3A47890A" w:rsidR="00645F6C" w:rsidRDefault="0035555B" w:rsidP="00F12F8E">
      <w:pPr>
        <w:ind w:left="2608"/>
        <w:rPr>
          <w:rFonts w:cs="Times New Roman"/>
        </w:rPr>
      </w:pPr>
      <w:proofErr w:type="spellStart"/>
      <w:r>
        <w:rPr>
          <w:rFonts w:cs="Times New Roman"/>
        </w:rPr>
        <w:t>Tisagenlekleuseelihoidon</w:t>
      </w:r>
      <w:proofErr w:type="spellEnd"/>
      <w:r>
        <w:rPr>
          <w:rFonts w:cs="Times New Roman"/>
        </w:rPr>
        <w:t xml:space="preserve"> kustannukset ovat huomattavan korkeat.</w:t>
      </w:r>
      <w:r w:rsidR="00823086">
        <w:rPr>
          <w:rFonts w:cs="Times New Roman"/>
        </w:rPr>
        <w:t xml:space="preserve"> </w:t>
      </w:r>
      <w:r w:rsidR="00C95FC3">
        <w:rPr>
          <w:rFonts w:cs="Times New Roman"/>
        </w:rPr>
        <w:t xml:space="preserve">Lisäksi hoidon kustannusvaikuttavuuden arviointiin liittyy merkittäviä epävarmuustekijöitä. </w:t>
      </w:r>
      <w:r>
        <w:rPr>
          <w:rFonts w:cs="Times New Roman"/>
        </w:rPr>
        <w:t xml:space="preserve">Suurin osa </w:t>
      </w:r>
      <w:r w:rsidR="005909AD">
        <w:rPr>
          <w:rFonts w:cs="Times New Roman"/>
        </w:rPr>
        <w:t xml:space="preserve">potilaskohtaisista </w:t>
      </w:r>
      <w:r>
        <w:rPr>
          <w:rFonts w:cs="Times New Roman"/>
        </w:rPr>
        <w:t>kustannuksista aiheutuu lääk</w:t>
      </w:r>
      <w:r w:rsidR="008D3233">
        <w:rPr>
          <w:rFonts w:cs="Times New Roman"/>
        </w:rPr>
        <w:t>keestä, jonka hintaan vaikuttavat mahdollinen alennus tai hallitun käyttöönoton (riskinjako) sopimus.</w:t>
      </w:r>
      <w:r w:rsidR="005909AD">
        <w:rPr>
          <w:rFonts w:cs="Times New Roman"/>
        </w:rPr>
        <w:t xml:space="preserve"> </w:t>
      </w:r>
      <w:proofErr w:type="spellStart"/>
      <w:r w:rsidR="005909AD">
        <w:rPr>
          <w:rFonts w:cs="Times New Roman"/>
        </w:rPr>
        <w:t>Fimean</w:t>
      </w:r>
      <w:proofErr w:type="spellEnd"/>
      <w:r w:rsidR="005909AD">
        <w:rPr>
          <w:rFonts w:cs="Times New Roman"/>
        </w:rPr>
        <w:t xml:space="preserve"> arvion mukaan ho</w:t>
      </w:r>
      <w:r w:rsidR="00AF1B8C">
        <w:rPr>
          <w:rFonts w:cs="Times New Roman"/>
        </w:rPr>
        <w:t>itoon soveltuvia potilaita olisi vuosittain 4-8.</w:t>
      </w:r>
      <w:r w:rsidR="005909AD">
        <w:rPr>
          <w:rFonts w:cs="Times New Roman"/>
        </w:rPr>
        <w:t xml:space="preserve"> </w:t>
      </w:r>
      <w:r>
        <w:rPr>
          <w:rFonts w:cs="Times New Roman"/>
        </w:rPr>
        <w:t xml:space="preserve"> </w:t>
      </w:r>
    </w:p>
    <w:p w14:paraId="75DAB430" w14:textId="77777777" w:rsidR="00F12F8E" w:rsidRDefault="00F12F8E" w:rsidP="00AE707F">
      <w:pPr>
        <w:rPr>
          <w:rFonts w:cs="Times New Roman"/>
        </w:rPr>
      </w:pPr>
    </w:p>
    <w:p w14:paraId="35E77F64" w14:textId="5836F3A5" w:rsidR="00F12F8E" w:rsidRPr="00F12F8E" w:rsidRDefault="002016BE" w:rsidP="00AE707F">
      <w:pPr>
        <w:rPr>
          <w:rFonts w:cs="Times New Roman"/>
          <w:i/>
        </w:rPr>
      </w:pPr>
      <w:r>
        <w:rPr>
          <w:rFonts w:cs="Times New Roman"/>
          <w:i/>
        </w:rPr>
        <w:tab/>
      </w:r>
      <w:r>
        <w:rPr>
          <w:rFonts w:cs="Times New Roman"/>
          <w:i/>
        </w:rPr>
        <w:tab/>
      </w:r>
      <w:r w:rsidR="00F12F8E" w:rsidRPr="00F12F8E">
        <w:rPr>
          <w:rFonts w:cs="Times New Roman"/>
          <w:i/>
        </w:rPr>
        <w:t>Hyvän tekeminen ja vahingon välttäminen</w:t>
      </w:r>
    </w:p>
    <w:p w14:paraId="433F9B40" w14:textId="77777777" w:rsidR="00F12F8E" w:rsidRPr="00F12F8E" w:rsidRDefault="00F12F8E" w:rsidP="00AE707F">
      <w:pPr>
        <w:rPr>
          <w:rFonts w:cs="Times New Roman"/>
          <w:i/>
        </w:rPr>
      </w:pPr>
    </w:p>
    <w:p w14:paraId="6DCFC36E" w14:textId="77777777" w:rsidR="00F00F82" w:rsidRDefault="00311081" w:rsidP="00F234AC">
      <w:pPr>
        <w:ind w:left="2608"/>
        <w:rPr>
          <w:rFonts w:cs="Times New Roman"/>
        </w:rPr>
      </w:pPr>
      <w:r>
        <w:rPr>
          <w:rFonts w:cs="Times New Roman"/>
        </w:rPr>
        <w:t>Hoitoihin</w:t>
      </w:r>
      <w:r w:rsidR="00F12F8E">
        <w:rPr>
          <w:rFonts w:cs="Times New Roman"/>
        </w:rPr>
        <w:t xml:space="preserve"> liittyvät riskit tulee suhteuttaa hoidettavan sairaud</w:t>
      </w:r>
      <w:r w:rsidR="000E6989">
        <w:rPr>
          <w:rFonts w:cs="Times New Roman"/>
        </w:rPr>
        <w:t>e</w:t>
      </w:r>
      <w:r w:rsidR="00F12F8E">
        <w:rPr>
          <w:rFonts w:cs="Times New Roman"/>
        </w:rPr>
        <w:t>n vakavuuteen ja siihen liittyviin riskeihin.</w:t>
      </w:r>
      <w:r w:rsidR="000E6989">
        <w:rPr>
          <w:rFonts w:cs="Times New Roman"/>
        </w:rPr>
        <w:t xml:space="preserve"> </w:t>
      </w:r>
      <w:proofErr w:type="spellStart"/>
      <w:r w:rsidR="00C81FD4">
        <w:rPr>
          <w:rFonts w:cs="Times New Roman"/>
        </w:rPr>
        <w:t>Tisagenlekleusiili</w:t>
      </w:r>
      <w:proofErr w:type="spellEnd"/>
      <w:r w:rsidR="00F27F8D">
        <w:rPr>
          <w:rFonts w:cs="Times New Roman"/>
        </w:rPr>
        <w:t>-</w:t>
      </w:r>
      <w:r w:rsidR="00C81FD4">
        <w:rPr>
          <w:rFonts w:cs="Times New Roman"/>
        </w:rPr>
        <w:t xml:space="preserve">hoitoon liittyy </w:t>
      </w:r>
      <w:r w:rsidR="008D481E">
        <w:rPr>
          <w:rFonts w:cs="Times New Roman"/>
        </w:rPr>
        <w:t>merkittävä</w:t>
      </w:r>
      <w:r w:rsidR="006C39D5">
        <w:rPr>
          <w:rFonts w:cs="Times New Roman"/>
        </w:rPr>
        <w:t>ssä määrin</w:t>
      </w:r>
      <w:r w:rsidR="008D481E">
        <w:rPr>
          <w:rFonts w:cs="Times New Roman"/>
        </w:rPr>
        <w:t xml:space="preserve"> </w:t>
      </w:r>
      <w:r w:rsidR="006C39D5">
        <w:rPr>
          <w:rFonts w:cs="Times New Roman"/>
        </w:rPr>
        <w:t>vakavia ja</w:t>
      </w:r>
      <w:r>
        <w:rPr>
          <w:rFonts w:cs="Times New Roman"/>
        </w:rPr>
        <w:t xml:space="preserve"> </w:t>
      </w:r>
      <w:r w:rsidR="00C81FD4">
        <w:rPr>
          <w:rFonts w:cs="Times New Roman"/>
        </w:rPr>
        <w:t xml:space="preserve">hengenvaarallisia </w:t>
      </w:r>
      <w:r w:rsidR="002E53D9">
        <w:rPr>
          <w:rFonts w:cs="Times New Roman"/>
        </w:rPr>
        <w:t>haittavaikutuksia</w:t>
      </w:r>
      <w:r w:rsidR="008D481E">
        <w:rPr>
          <w:rFonts w:cs="Times New Roman"/>
        </w:rPr>
        <w:t xml:space="preserve">, joiden riski on korostunut </w:t>
      </w:r>
      <w:r>
        <w:rPr>
          <w:rFonts w:cs="Times New Roman"/>
        </w:rPr>
        <w:t xml:space="preserve">etenkin </w:t>
      </w:r>
      <w:r w:rsidR="002E53D9">
        <w:rPr>
          <w:rFonts w:cs="Times New Roman"/>
        </w:rPr>
        <w:t xml:space="preserve">hoitoa seuraavien viikkojen aikana. </w:t>
      </w:r>
      <w:r w:rsidR="00C81FD4">
        <w:rPr>
          <w:rFonts w:cs="Times New Roman"/>
        </w:rPr>
        <w:t xml:space="preserve"> </w:t>
      </w:r>
      <w:r w:rsidR="008D481E">
        <w:rPr>
          <w:rFonts w:cs="Times New Roman"/>
        </w:rPr>
        <w:t xml:space="preserve">Nämä </w:t>
      </w:r>
      <w:r w:rsidR="002E53D9">
        <w:rPr>
          <w:rFonts w:cs="Times New Roman"/>
        </w:rPr>
        <w:t>haittavaikutukset vaativat infuusion jä</w:t>
      </w:r>
      <w:r w:rsidR="00F234AC">
        <w:rPr>
          <w:rFonts w:cs="Times New Roman"/>
        </w:rPr>
        <w:t>lkeisenä varotoimena tiivistä seurantaa ja</w:t>
      </w:r>
      <w:r w:rsidR="002E53D9">
        <w:rPr>
          <w:rFonts w:cs="Times New Roman"/>
        </w:rPr>
        <w:t xml:space="preserve"> pysymistä hoitoa antavan keskuksen läheisyydessä </w:t>
      </w:r>
      <w:r>
        <w:rPr>
          <w:rFonts w:cs="Times New Roman"/>
        </w:rPr>
        <w:t>useiden viikkojen ajan</w:t>
      </w:r>
      <w:r w:rsidR="002E53D9">
        <w:rPr>
          <w:rFonts w:cs="Times New Roman"/>
        </w:rPr>
        <w:t>.</w:t>
      </w:r>
      <w:r w:rsidR="00F27F8D">
        <w:rPr>
          <w:rFonts w:cs="Times New Roman"/>
        </w:rPr>
        <w:t xml:space="preserve"> </w:t>
      </w:r>
      <w:r w:rsidR="00F00F82">
        <w:rPr>
          <w:rFonts w:cs="Times New Roman"/>
        </w:rPr>
        <w:t>Jopa lähes viidenneksellä</w:t>
      </w:r>
      <w:r w:rsidR="00F27F8D">
        <w:rPr>
          <w:rFonts w:cs="Times New Roman"/>
        </w:rPr>
        <w:t xml:space="preserve"> potilai</w:t>
      </w:r>
      <w:r w:rsidR="00F00F82">
        <w:rPr>
          <w:rFonts w:cs="Times New Roman"/>
        </w:rPr>
        <w:t>sta</w:t>
      </w:r>
      <w:r w:rsidR="00F27F8D">
        <w:rPr>
          <w:rFonts w:cs="Times New Roman"/>
        </w:rPr>
        <w:t xml:space="preserve"> solujen käsittely ei onnistu teknisesti tai sairaus ehtii edetä solujen valmistuksen aikana siten, että hoitoa ei ole enää mahdollista antaa tai se ei ehdi auttamaan potilasta.</w:t>
      </w:r>
      <w:r w:rsidR="00193D29">
        <w:rPr>
          <w:rFonts w:cs="Times New Roman"/>
        </w:rPr>
        <w:t xml:space="preserve"> </w:t>
      </w:r>
    </w:p>
    <w:p w14:paraId="655342F3" w14:textId="77777777" w:rsidR="00F00F82" w:rsidRDefault="00F00F82" w:rsidP="00F234AC">
      <w:pPr>
        <w:ind w:left="2608"/>
        <w:rPr>
          <w:rFonts w:cs="Times New Roman"/>
        </w:rPr>
      </w:pPr>
    </w:p>
    <w:p w14:paraId="6FAFF1C5" w14:textId="12EB3B6B" w:rsidR="00171401" w:rsidRDefault="00311081" w:rsidP="00F234AC">
      <w:pPr>
        <w:ind w:left="2608"/>
        <w:rPr>
          <w:rFonts w:cs="Times New Roman"/>
        </w:rPr>
      </w:pPr>
      <w:r>
        <w:rPr>
          <w:rFonts w:cs="Times New Roman"/>
        </w:rPr>
        <w:t xml:space="preserve">Hoidon aiheuttamia pidempiaikaisia haittavaikutuksia tai esimerkiksi vaikutuksia potilaiden immunologiseen järjestelmään ei vielä tunneta. </w:t>
      </w:r>
      <w:r w:rsidR="008D481E">
        <w:rPr>
          <w:rFonts w:cs="Times New Roman"/>
        </w:rPr>
        <w:t>Nyt arvioituihin tutkimuksiin ei otettu mukaan potilaita, joilla oli esimerkiksi maksan, munuaisten, keuhkojen tai sydämen vajaatoimintaa. Tutkimuksiin ei myöskään otettu alle 3-vuotiaana leukemiaan sairastuneita.</w:t>
      </w:r>
      <w:r w:rsidR="00F234AC">
        <w:rPr>
          <w:rFonts w:cs="Times New Roman"/>
        </w:rPr>
        <w:t xml:space="preserve"> Lisäksi valmisteyhteenvedon mukaan hoidosta on vain rajallisesti kokemusta potilailla, jotka ovat aiemmin saaneet CD19-antigeeniin kohdistuvaa hoitoa, kuten </w:t>
      </w:r>
      <w:proofErr w:type="spellStart"/>
      <w:r w:rsidR="00F234AC">
        <w:rPr>
          <w:rFonts w:cs="Times New Roman"/>
        </w:rPr>
        <w:t>blinatumumabia</w:t>
      </w:r>
      <w:proofErr w:type="spellEnd"/>
      <w:r w:rsidR="00F234AC">
        <w:rPr>
          <w:rFonts w:cs="Times New Roman"/>
        </w:rPr>
        <w:t xml:space="preserve">. </w:t>
      </w:r>
    </w:p>
    <w:p w14:paraId="3F1ECFFA" w14:textId="77777777" w:rsidR="00171401" w:rsidRDefault="00171401" w:rsidP="00F234AC">
      <w:pPr>
        <w:ind w:left="2608"/>
        <w:rPr>
          <w:rFonts w:cs="Times New Roman"/>
        </w:rPr>
      </w:pPr>
    </w:p>
    <w:p w14:paraId="47E547BF" w14:textId="230D4712" w:rsidR="00476ECB" w:rsidRDefault="00171401" w:rsidP="00F234AC">
      <w:pPr>
        <w:ind w:left="2608"/>
        <w:rPr>
          <w:rFonts w:cs="Times New Roman"/>
        </w:rPr>
      </w:pPr>
      <w:r>
        <w:rPr>
          <w:rFonts w:cs="Times New Roman"/>
        </w:rPr>
        <w:t xml:space="preserve">Ainoa mahdollisesti parantava hoitovaihtoehto </w:t>
      </w:r>
      <w:proofErr w:type="spellStart"/>
      <w:r>
        <w:rPr>
          <w:rFonts w:cs="Times New Roman"/>
        </w:rPr>
        <w:t>tisagenlekleusiilihoidolle</w:t>
      </w:r>
      <w:proofErr w:type="spellEnd"/>
      <w:r>
        <w:rPr>
          <w:rFonts w:cs="Times New Roman"/>
        </w:rPr>
        <w:t xml:space="preserve"> tässä </w:t>
      </w:r>
      <w:proofErr w:type="spellStart"/>
      <w:r>
        <w:rPr>
          <w:rFonts w:cs="Times New Roman"/>
        </w:rPr>
        <w:t>käyttäaiheessa</w:t>
      </w:r>
      <w:proofErr w:type="spellEnd"/>
      <w:r w:rsidR="00311081">
        <w:rPr>
          <w:rFonts w:cs="Times New Roman"/>
        </w:rPr>
        <w:t xml:space="preserve"> on</w:t>
      </w:r>
      <w:r>
        <w:rPr>
          <w:rFonts w:cs="Times New Roman"/>
        </w:rPr>
        <w:t xml:space="preserve"> </w:t>
      </w:r>
      <w:proofErr w:type="spellStart"/>
      <w:r>
        <w:rPr>
          <w:rFonts w:cs="Times New Roman"/>
        </w:rPr>
        <w:t>allogeeninen</w:t>
      </w:r>
      <w:proofErr w:type="spellEnd"/>
      <w:r>
        <w:rPr>
          <w:rFonts w:cs="Times New Roman"/>
        </w:rPr>
        <w:t xml:space="preserve"> kantasolusiirto. Myös tähän hoitomuotoon liittyy vakavia haittoja, eivätkä kaikki potilaat ole siihen </w:t>
      </w:r>
    </w:p>
    <w:p w14:paraId="2FAF36BE" w14:textId="329C175A" w:rsidR="00476ECB" w:rsidRPr="00F234AC" w:rsidRDefault="00171401">
      <w:pPr>
        <w:ind w:left="2608"/>
        <w:rPr>
          <w:rFonts w:cs="Times New Roman"/>
        </w:rPr>
      </w:pPr>
      <w:r>
        <w:rPr>
          <w:rFonts w:cs="Times New Roman"/>
        </w:rPr>
        <w:t>soveltuvia.</w:t>
      </w:r>
    </w:p>
    <w:p w14:paraId="7EE1B5D3" w14:textId="13841828" w:rsidR="00122E73" w:rsidRPr="009F1FD1" w:rsidRDefault="002A7F20" w:rsidP="009F1FD1">
      <w:pPr>
        <w:pStyle w:val="Otsikko2"/>
      </w:pPr>
      <w:bookmarkStart w:id="32" w:name="_Toc535066141"/>
      <w:r>
        <w:t xml:space="preserve">Poikkeaminen </w:t>
      </w:r>
      <w:r w:rsidR="00A62AC3">
        <w:t>palveluvalikoimasta</w:t>
      </w:r>
      <w:bookmarkEnd w:id="32"/>
    </w:p>
    <w:p w14:paraId="7EE1B5DB" w14:textId="77777777" w:rsidR="00AE707F" w:rsidRPr="00AE707F" w:rsidRDefault="00AE707F" w:rsidP="00AE707F">
      <w:pPr>
        <w:ind w:left="2608"/>
        <w:rPr>
          <w:rFonts w:eastAsia="MS PGothic" w:cs="Times New Roman"/>
        </w:rPr>
      </w:pPr>
    </w:p>
    <w:p w14:paraId="6EF7CFF2" w14:textId="66838672" w:rsidR="00AA6475" w:rsidRPr="00AA6475" w:rsidRDefault="00AA6475" w:rsidP="00AA6475">
      <w:pPr>
        <w:ind w:left="2608"/>
        <w:rPr>
          <w:rFonts w:eastAsia="MS PGothic" w:cs="Times New Roman"/>
        </w:rPr>
      </w:pPr>
      <w:r w:rsidRPr="00AA6475">
        <w:rPr>
          <w:rFonts w:eastAsia="MS PGothic" w:cs="Times New Roman"/>
        </w:rPr>
        <w:t>Potilasta voidaan tutkia ja hoitaa palveluvalikoimaan kuulumattomalla lääketieteellisellä tai hammaslääketieteellisellä tutkimus- ja hoitomenetelmällä, jos se on potilaan henkeä tai terveyttä vakavasti uhkaavan sairauden tai vamman takia lääketieteellisesti välttämätöntä potilaan terveydentila ja sairauden ennakoitavissa oleva kehitys huomioon ottaen</w:t>
      </w:r>
      <w:r w:rsidR="00BC3A7B">
        <w:rPr>
          <w:rFonts w:eastAsia="MS PGothic" w:cs="Times New Roman"/>
        </w:rPr>
        <w:t>.</w:t>
      </w:r>
      <w:r w:rsidRPr="00AA6475">
        <w:rPr>
          <w:rFonts w:eastAsia="MS PGothic" w:cs="Times New Roman"/>
        </w:rPr>
        <w:t xml:space="preserve"> </w:t>
      </w:r>
    </w:p>
    <w:p w14:paraId="7EE1B5DC" w14:textId="77777777" w:rsidR="00122E73" w:rsidRPr="00122E73" w:rsidRDefault="00122E73" w:rsidP="00122E73">
      <w:pPr>
        <w:ind w:left="2608"/>
        <w:rPr>
          <w:rFonts w:eastAsia="MS PGothic" w:cs="Times New Roman"/>
        </w:rPr>
      </w:pPr>
    </w:p>
    <w:p w14:paraId="7EE1B5DD" w14:textId="0ED8E5EF" w:rsidR="00122E73" w:rsidRDefault="00336159" w:rsidP="00E0652B">
      <w:pPr>
        <w:pStyle w:val="Otsikko2"/>
      </w:pPr>
      <w:bookmarkStart w:id="33" w:name="_Toc535066142"/>
      <w:r>
        <w:t>L</w:t>
      </w:r>
      <w:r w:rsidR="00AE707F">
        <w:t>isänäytön kerääminen</w:t>
      </w:r>
      <w:r w:rsidR="001575D6">
        <w:t xml:space="preserve"> ja suosituksen vaikutusten seuranta</w:t>
      </w:r>
      <w:bookmarkEnd w:id="33"/>
    </w:p>
    <w:p w14:paraId="22179EFD" w14:textId="77777777" w:rsidR="0035747B" w:rsidRDefault="0035747B" w:rsidP="0035747B"/>
    <w:p w14:paraId="016CDF38" w14:textId="25A50E42" w:rsidR="00391A26" w:rsidRDefault="002016BE" w:rsidP="00BA0CCF">
      <w:pPr>
        <w:pStyle w:val="Leipteksti"/>
        <w:ind w:left="2608" w:right="-1"/>
        <w:rPr>
          <w:rFonts w:ascii="Times New Roman" w:eastAsia="MS PGothic" w:hAnsi="Times New Roman" w:cs="Times New Roman"/>
          <w:sz w:val="24"/>
          <w:szCs w:val="24"/>
          <w:lang w:eastAsia="fi-FI"/>
        </w:rPr>
      </w:pPr>
      <w:proofErr w:type="spellStart"/>
      <w:r w:rsidRPr="002016BE">
        <w:rPr>
          <w:rFonts w:ascii="Times New Roman" w:eastAsia="MS PGothic" w:hAnsi="Times New Roman" w:cs="Times New Roman"/>
          <w:sz w:val="24"/>
          <w:szCs w:val="24"/>
          <w:lang w:eastAsia="fi-FI"/>
        </w:rPr>
        <w:t>Tisagenlekleuseeli</w:t>
      </w:r>
      <w:proofErr w:type="spellEnd"/>
      <w:r w:rsidR="0035747B" w:rsidRPr="00391A26">
        <w:rPr>
          <w:rFonts w:ascii="Times New Roman" w:eastAsia="MS PGothic" w:hAnsi="Times New Roman" w:cs="Times New Roman"/>
          <w:sz w:val="24"/>
          <w:szCs w:val="24"/>
          <w:lang w:eastAsia="fi-FI"/>
        </w:rPr>
        <w:t xml:space="preserve">-hoitoon liittyviä suosituksia uudelleen arvioitaessa tarvittaisiin tietoa muuan muassa </w:t>
      </w:r>
    </w:p>
    <w:p w14:paraId="49DF5BC7" w14:textId="77777777" w:rsidR="00391A26" w:rsidRPr="00391A26" w:rsidRDefault="0035747B" w:rsidP="00391A26">
      <w:pPr>
        <w:pStyle w:val="Luettelokappale"/>
        <w:numPr>
          <w:ilvl w:val="0"/>
          <w:numId w:val="21"/>
        </w:numPr>
      </w:pPr>
      <w:r w:rsidRPr="00391A26">
        <w:t>hoidettujen potilaiden lukumäärästä ja ominaispiirteistä</w:t>
      </w:r>
    </w:p>
    <w:p w14:paraId="2ABD938F" w14:textId="77777777" w:rsidR="00391A26" w:rsidRPr="00391A26" w:rsidRDefault="0035747B" w:rsidP="00391A26">
      <w:pPr>
        <w:pStyle w:val="Luettelokappale"/>
        <w:numPr>
          <w:ilvl w:val="0"/>
          <w:numId w:val="21"/>
        </w:numPr>
      </w:pPr>
      <w:r w:rsidRPr="00391A26">
        <w:t xml:space="preserve">hoidon toteutumisesta </w:t>
      </w:r>
    </w:p>
    <w:p w14:paraId="59366DE0" w14:textId="31D6D39B" w:rsidR="0035747B" w:rsidRPr="00391A26" w:rsidRDefault="0035747B" w:rsidP="0085347A">
      <w:pPr>
        <w:pStyle w:val="Luettelokappale"/>
        <w:numPr>
          <w:ilvl w:val="0"/>
          <w:numId w:val="21"/>
        </w:numPr>
      </w:pPr>
      <w:r w:rsidRPr="00391A26">
        <w:t xml:space="preserve">hoidon lopputuloksista lyhyellä ja pidemmällä aikavälillä (esimerkiksi kuolleisuus, </w:t>
      </w:r>
      <w:r w:rsidR="00746F13">
        <w:t xml:space="preserve">hoidon aiheuttamat pysyvät haitat, </w:t>
      </w:r>
      <w:proofErr w:type="spellStart"/>
      <w:r w:rsidR="0085347A" w:rsidRPr="0085347A">
        <w:t>tisagenlekleuseeli</w:t>
      </w:r>
      <w:proofErr w:type="spellEnd"/>
      <w:r w:rsidRPr="00391A26">
        <w:t>-hoidon jälkeen tehdyt kantasolusiirrot ja B-</w:t>
      </w:r>
      <w:proofErr w:type="spellStart"/>
      <w:r w:rsidRPr="00391A26">
        <w:t>soluaplasian</w:t>
      </w:r>
      <w:proofErr w:type="spellEnd"/>
      <w:r w:rsidRPr="00391A26">
        <w:t xml:space="preserve"> </w:t>
      </w:r>
      <w:r w:rsidR="00A10658">
        <w:t xml:space="preserve">jälkeisen </w:t>
      </w:r>
      <w:proofErr w:type="spellStart"/>
      <w:r w:rsidRPr="00391A26">
        <w:t>immunoglobuliinihoidon</w:t>
      </w:r>
      <w:proofErr w:type="spellEnd"/>
      <w:r w:rsidRPr="00391A26">
        <w:t xml:space="preserve"> tarve ja kesto).</w:t>
      </w:r>
    </w:p>
    <w:p w14:paraId="3C9A9E02" w14:textId="77777777" w:rsidR="0035747B" w:rsidRPr="00391A26" w:rsidRDefault="0035747B" w:rsidP="00391A26"/>
    <w:p w14:paraId="6B3F3627" w14:textId="5DD3C445" w:rsidR="0035747B" w:rsidRPr="00391A26" w:rsidRDefault="00FC6DC2" w:rsidP="00391A26">
      <w:pPr>
        <w:ind w:left="2608"/>
        <w:rPr>
          <w:rFonts w:eastAsia="MS PGothic"/>
        </w:rPr>
      </w:pPr>
      <w:r>
        <w:rPr>
          <w:rFonts w:eastAsia="MS PGothic"/>
        </w:rPr>
        <w:t xml:space="preserve">Myös </w:t>
      </w:r>
      <w:r w:rsidR="00391A26">
        <w:rPr>
          <w:rFonts w:eastAsia="MS PGothic"/>
        </w:rPr>
        <w:t>Euroopan lääkevirasto (EMA)</w:t>
      </w:r>
      <w:r w:rsidR="0035747B" w:rsidRPr="00391A26">
        <w:rPr>
          <w:rFonts w:eastAsia="MS PGothic"/>
        </w:rPr>
        <w:t xml:space="preserve"> on asettanut </w:t>
      </w:r>
      <w:proofErr w:type="spellStart"/>
      <w:r w:rsidR="002016BE" w:rsidRPr="002016BE">
        <w:rPr>
          <w:rFonts w:eastAsia="MS PGothic"/>
        </w:rPr>
        <w:t>Tisagenlekleuseeli</w:t>
      </w:r>
      <w:proofErr w:type="spellEnd"/>
      <w:r w:rsidR="0035747B" w:rsidRPr="00391A26">
        <w:rPr>
          <w:rFonts w:eastAsia="MS PGothic"/>
        </w:rPr>
        <w:t>-</w:t>
      </w:r>
      <w:r w:rsidR="002016BE">
        <w:rPr>
          <w:rFonts w:eastAsia="MS PGothic"/>
        </w:rPr>
        <w:t>lääkk</w:t>
      </w:r>
      <w:r w:rsidR="0035747B" w:rsidRPr="00391A26">
        <w:rPr>
          <w:rFonts w:eastAsia="MS PGothic"/>
        </w:rPr>
        <w:t xml:space="preserve">een myyntiluvan haltijalle velvoitteen tehdä ja raportoida kansainväliseen rekisteridataan perustuvia teho- ja turvallisuustutkimuksia myyntiluvan myöntämisen jälkeen. </w:t>
      </w:r>
      <w:r w:rsidR="00391A26" w:rsidRPr="00391A26">
        <w:rPr>
          <w:rFonts w:eastAsia="MS PGothic"/>
        </w:rPr>
        <w:t xml:space="preserve">EMA </w:t>
      </w:r>
      <w:r w:rsidR="00391A26">
        <w:rPr>
          <w:rFonts w:eastAsia="MS PGothic"/>
        </w:rPr>
        <w:t xml:space="preserve">(2018) </w:t>
      </w:r>
      <w:r w:rsidR="00391A26" w:rsidRPr="00391A26">
        <w:rPr>
          <w:rFonts w:eastAsia="MS PGothic"/>
        </w:rPr>
        <w:t>on dokume</w:t>
      </w:r>
      <w:r w:rsidR="00746F13">
        <w:rPr>
          <w:rFonts w:eastAsia="MS PGothic"/>
        </w:rPr>
        <w:t>n</w:t>
      </w:r>
      <w:r w:rsidR="00391A26" w:rsidRPr="00391A26">
        <w:rPr>
          <w:rFonts w:eastAsia="MS PGothic"/>
        </w:rPr>
        <w:t>toinut tarkempia tietoja CAR-T</w:t>
      </w:r>
      <w:r w:rsidR="00391A26">
        <w:rPr>
          <w:rFonts w:eastAsia="MS PGothic"/>
        </w:rPr>
        <w:t xml:space="preserve"> -hoidoista kerättävistä ydintietotarpeista </w:t>
      </w:r>
      <w:r w:rsidR="00391A26" w:rsidRPr="00391A26">
        <w:rPr>
          <w:rFonts w:eastAsia="MS PGothic"/>
        </w:rPr>
        <w:t>(</w:t>
      </w:r>
      <w:proofErr w:type="spellStart"/>
      <w:r w:rsidR="00391A26" w:rsidRPr="00391A26">
        <w:rPr>
          <w:rFonts w:eastAsia="MS PGothic"/>
        </w:rPr>
        <w:t>core</w:t>
      </w:r>
      <w:proofErr w:type="spellEnd"/>
      <w:r w:rsidR="00391A26" w:rsidRPr="00391A26">
        <w:rPr>
          <w:rFonts w:eastAsia="MS PGothic"/>
        </w:rPr>
        <w:t xml:space="preserve"> data </w:t>
      </w:r>
      <w:proofErr w:type="spellStart"/>
      <w:r w:rsidR="00391A26" w:rsidRPr="00391A26">
        <w:rPr>
          <w:rFonts w:eastAsia="MS PGothic"/>
        </w:rPr>
        <w:t>elements</w:t>
      </w:r>
      <w:proofErr w:type="spellEnd"/>
      <w:r w:rsidR="00391A26" w:rsidRPr="00391A26">
        <w:rPr>
          <w:rFonts w:eastAsia="MS PGothic"/>
        </w:rPr>
        <w:t>)</w:t>
      </w:r>
      <w:r w:rsidR="00391A26">
        <w:rPr>
          <w:rFonts w:eastAsia="MS PGothic"/>
        </w:rPr>
        <w:t>.</w:t>
      </w:r>
      <w:r w:rsidR="00391A26" w:rsidRPr="00391A26">
        <w:rPr>
          <w:rFonts w:eastAsia="MS PGothic"/>
        </w:rPr>
        <w:t xml:space="preserve"> </w:t>
      </w:r>
    </w:p>
    <w:p w14:paraId="6472040D" w14:textId="77777777" w:rsidR="0035747B" w:rsidRPr="00391A26" w:rsidRDefault="0035747B" w:rsidP="0035747B">
      <w:pPr>
        <w:pStyle w:val="LuetteloViiva"/>
        <w:numPr>
          <w:ilvl w:val="0"/>
          <w:numId w:val="0"/>
        </w:numPr>
        <w:ind w:left="681" w:hanging="454"/>
        <w:rPr>
          <w:rFonts w:ascii="Times New Roman" w:eastAsia="MS PGothic" w:hAnsi="Times New Roman" w:cs="Times New Roman"/>
          <w:sz w:val="24"/>
          <w:szCs w:val="24"/>
          <w:lang w:eastAsia="fi-FI"/>
        </w:rPr>
      </w:pPr>
    </w:p>
    <w:p w14:paraId="7EE1B5EA" w14:textId="202EA966" w:rsidR="00122E73" w:rsidRPr="001575D6" w:rsidRDefault="006A6AB2" w:rsidP="001575D6">
      <w:pPr>
        <w:ind w:left="2608"/>
        <w:rPr>
          <w:rFonts w:eastAsia="MS PGothic"/>
        </w:rPr>
      </w:pPr>
      <w:r>
        <w:rPr>
          <w:rFonts w:eastAsia="MS PGothic"/>
        </w:rPr>
        <w:t xml:space="preserve">Tietojen keräämistä Suomessa </w:t>
      </w:r>
      <w:r w:rsidR="00391A26">
        <w:rPr>
          <w:rFonts w:eastAsia="MS PGothic"/>
        </w:rPr>
        <w:t xml:space="preserve">CAR-T </w:t>
      </w:r>
      <w:r>
        <w:rPr>
          <w:rFonts w:eastAsia="MS PGothic"/>
        </w:rPr>
        <w:t>–</w:t>
      </w:r>
      <w:r w:rsidR="00391A26">
        <w:rPr>
          <w:rFonts w:eastAsia="MS PGothic"/>
        </w:rPr>
        <w:t>hoitoja</w:t>
      </w:r>
      <w:r>
        <w:rPr>
          <w:rFonts w:eastAsia="MS PGothic"/>
        </w:rPr>
        <w:t xml:space="preserve"> </w:t>
      </w:r>
      <w:r w:rsidR="00391A26">
        <w:rPr>
          <w:rFonts w:eastAsia="MS PGothic"/>
        </w:rPr>
        <w:t>saavista potilaista</w:t>
      </w:r>
      <w:r>
        <w:rPr>
          <w:rFonts w:eastAsia="MS PGothic"/>
        </w:rPr>
        <w:t xml:space="preserve"> pidetään tärkeänä ja nämä</w:t>
      </w:r>
      <w:r w:rsidR="0035747B" w:rsidRPr="00391A26">
        <w:rPr>
          <w:rFonts w:eastAsia="MS PGothic"/>
        </w:rPr>
        <w:t xml:space="preserve"> tiedot</w:t>
      </w:r>
      <w:r w:rsidR="003B22E8">
        <w:rPr>
          <w:rFonts w:eastAsia="MS PGothic"/>
        </w:rPr>
        <w:t xml:space="preserve"> olisi hyvä saada </w:t>
      </w:r>
      <w:r>
        <w:rPr>
          <w:rFonts w:eastAsia="MS PGothic"/>
        </w:rPr>
        <w:t>myös</w:t>
      </w:r>
      <w:r w:rsidR="003B22E8">
        <w:rPr>
          <w:rFonts w:eastAsia="MS PGothic"/>
        </w:rPr>
        <w:t xml:space="preserve"> kansallisen päätöksenteon ja ohjauksen </w:t>
      </w:r>
      <w:r>
        <w:rPr>
          <w:rFonts w:eastAsia="MS PGothic"/>
        </w:rPr>
        <w:t>tueksi</w:t>
      </w:r>
      <w:r w:rsidR="003B22E8">
        <w:rPr>
          <w:rFonts w:eastAsia="MS PGothic"/>
        </w:rPr>
        <w:t>.</w:t>
      </w:r>
    </w:p>
    <w:p w14:paraId="7EE1B5EB" w14:textId="77777777" w:rsidR="00122E73" w:rsidRDefault="00AE707F" w:rsidP="00E0652B">
      <w:pPr>
        <w:pStyle w:val="Otsikko2"/>
      </w:pPr>
      <w:bookmarkStart w:id="34" w:name="_Toc535066143"/>
      <w:r>
        <w:lastRenderedPageBreak/>
        <w:t>Johtopäätökset</w:t>
      </w:r>
      <w:bookmarkEnd w:id="34"/>
    </w:p>
    <w:p w14:paraId="7EE1B5EC" w14:textId="77777777" w:rsidR="00AE707F" w:rsidRPr="00AE707F" w:rsidRDefault="00AE707F" w:rsidP="00AE707F"/>
    <w:p w14:paraId="7EE1B5ED" w14:textId="77777777" w:rsidR="00AE707F" w:rsidRPr="00535562" w:rsidRDefault="00AE707F" w:rsidP="00AE707F">
      <w:pPr>
        <w:ind w:left="2608"/>
      </w:pPr>
      <w:bookmarkStart w:id="35" w:name="_Toc495920279"/>
      <w:r w:rsidRPr="00535562">
        <w:t>PALKO on 26.5.2016 hyväksymässään väliraportissa katsonut, että palveluvalikoiman määrittelyssä tulee perustuslain ja terveydenhuoltolain (</w:t>
      </w:r>
      <w:proofErr w:type="spellStart"/>
      <w:r w:rsidRPr="00535562">
        <w:t>TervHL</w:t>
      </w:r>
      <w:proofErr w:type="spellEnd"/>
      <w:r w:rsidRPr="00535562">
        <w:t xml:space="preserve"> 7a § ja </w:t>
      </w:r>
      <w:proofErr w:type="spellStart"/>
      <w:r w:rsidRPr="00535562">
        <w:t>TervHL</w:t>
      </w:r>
      <w:proofErr w:type="spellEnd"/>
      <w:r w:rsidRPr="00535562">
        <w:t xml:space="preserve"> 78a §) asettamien reunaehtojen puitteissa noudattaa seuraavia periaatteita:</w:t>
      </w:r>
    </w:p>
    <w:p w14:paraId="7EE1B5EE" w14:textId="77777777" w:rsidR="00AE707F" w:rsidRPr="00AC5D24" w:rsidRDefault="00AC5D24" w:rsidP="00AE707F">
      <w:pPr>
        <w:pStyle w:val="Otsikko4"/>
        <w:ind w:left="2608"/>
        <w:rPr>
          <w:sz w:val="22"/>
        </w:rPr>
      </w:pPr>
      <w:r>
        <w:rPr>
          <w:sz w:val="22"/>
        </w:rPr>
        <w:t>T</w:t>
      </w:r>
      <w:r w:rsidRPr="00AC5D24">
        <w:rPr>
          <w:sz w:val="22"/>
        </w:rPr>
        <w:t>erveysongelman merkittävyys</w:t>
      </w:r>
      <w:bookmarkEnd w:id="35"/>
    </w:p>
    <w:p w14:paraId="7EE1B5EF" w14:textId="77777777" w:rsidR="00AE707F" w:rsidRDefault="00AE707F" w:rsidP="00AE707F">
      <w:pPr>
        <w:spacing w:line="280" w:lineRule="exact"/>
        <w:ind w:left="2608"/>
        <w:jc w:val="both"/>
        <w:rPr>
          <w:rFonts w:cs="Times New Roman"/>
        </w:rPr>
      </w:pPr>
    </w:p>
    <w:p w14:paraId="7EE1B5F0" w14:textId="3DA1B969" w:rsidR="00AE707F" w:rsidRDefault="00AE707F" w:rsidP="00AE707F">
      <w:pPr>
        <w:spacing w:line="280" w:lineRule="exact"/>
        <w:ind w:left="2608"/>
        <w:jc w:val="both"/>
        <w:rPr>
          <w:rFonts w:cs="Times New Roman"/>
        </w:rPr>
      </w:pPr>
      <w:r w:rsidRPr="00535562">
        <w:rPr>
          <w:rFonts w:cs="Times New Roman"/>
        </w:rPr>
        <w:t>Terveysongelman on oltava riittävän merkittävä, jotta sitä on perusteltua hoitaa lääketieteen keinoin julkisin varoin. Merkityksen arvioinnissa sovelletaan lääketieteellisen tiedon lisäksi yhteiskunnallisia arvoja.</w:t>
      </w:r>
    </w:p>
    <w:p w14:paraId="0052CE36" w14:textId="7C01563C" w:rsidR="00632D03" w:rsidRDefault="00632D03" w:rsidP="00AE707F">
      <w:pPr>
        <w:spacing w:line="280" w:lineRule="exact"/>
        <w:ind w:left="2608"/>
        <w:jc w:val="both"/>
        <w:rPr>
          <w:rFonts w:cs="Times New Roman"/>
        </w:rPr>
      </w:pPr>
    </w:p>
    <w:p w14:paraId="7EE1B5F1" w14:textId="56CE5B4F" w:rsidR="00AE707F" w:rsidRPr="00535562" w:rsidRDefault="003201D5" w:rsidP="003201D5">
      <w:pPr>
        <w:spacing w:line="280" w:lineRule="exact"/>
        <w:ind w:left="2608"/>
        <w:jc w:val="both"/>
        <w:rPr>
          <w:rFonts w:cs="Times New Roman"/>
        </w:rPr>
      </w:pPr>
      <w:r>
        <w:rPr>
          <w:rFonts w:cs="Times New Roman"/>
        </w:rPr>
        <w:t xml:space="preserve">Hoidoille resistentti ja uusiutunut </w:t>
      </w:r>
      <w:r w:rsidR="00632D03">
        <w:rPr>
          <w:rFonts w:cs="Times New Roman"/>
        </w:rPr>
        <w:t xml:space="preserve">B-soluinen </w:t>
      </w:r>
      <w:r w:rsidR="00C30D89">
        <w:rPr>
          <w:rFonts w:cs="Times New Roman"/>
        </w:rPr>
        <w:t xml:space="preserve">ALL </w:t>
      </w:r>
      <w:r w:rsidR="00632D03">
        <w:rPr>
          <w:rFonts w:cs="Times New Roman"/>
        </w:rPr>
        <w:t>on vakav</w:t>
      </w:r>
      <w:r>
        <w:rPr>
          <w:rFonts w:cs="Times New Roman"/>
        </w:rPr>
        <w:t>a ja</w:t>
      </w:r>
      <w:r w:rsidR="00632D03">
        <w:rPr>
          <w:rFonts w:cs="Times New Roman"/>
        </w:rPr>
        <w:t xml:space="preserve"> huonoennusteinen</w:t>
      </w:r>
      <w:r>
        <w:rPr>
          <w:rFonts w:cs="Times New Roman"/>
        </w:rPr>
        <w:t xml:space="preserve"> sairaus, jonka hoitaminen julkisin varoin on perusteltua.</w:t>
      </w:r>
      <w:r w:rsidR="00085B8D">
        <w:rPr>
          <w:rFonts w:cs="Times New Roman"/>
        </w:rPr>
        <w:t xml:space="preserve"> </w:t>
      </w:r>
    </w:p>
    <w:p w14:paraId="7EE1B5F3" w14:textId="77777777" w:rsidR="00AE707F" w:rsidRPr="00535562" w:rsidRDefault="00AE707F" w:rsidP="00AE707F">
      <w:pPr>
        <w:spacing w:line="280" w:lineRule="exact"/>
        <w:jc w:val="both"/>
        <w:rPr>
          <w:rFonts w:cs="Times New Roman"/>
        </w:rPr>
      </w:pPr>
    </w:p>
    <w:p w14:paraId="7EE1B5F4" w14:textId="77777777" w:rsidR="00AE707F" w:rsidRPr="00535562" w:rsidRDefault="00AC5D24" w:rsidP="00AE707F">
      <w:pPr>
        <w:pStyle w:val="Otsikko4"/>
        <w:ind w:left="2608"/>
      </w:pPr>
      <w:bookmarkStart w:id="36" w:name="_Toc495920280"/>
      <w:r w:rsidRPr="00535562">
        <w:t>Lääketieteellinen perusteltavuus</w:t>
      </w:r>
      <w:bookmarkEnd w:id="36"/>
    </w:p>
    <w:p w14:paraId="7EE1B5F5" w14:textId="77777777" w:rsidR="00AE707F" w:rsidRDefault="00AE707F" w:rsidP="00AE707F">
      <w:pPr>
        <w:spacing w:line="280" w:lineRule="exact"/>
        <w:ind w:left="2608"/>
        <w:jc w:val="both"/>
        <w:rPr>
          <w:rFonts w:cs="Times New Roman"/>
        </w:rPr>
      </w:pPr>
    </w:p>
    <w:p w14:paraId="7EE1B5F6" w14:textId="77777777" w:rsidR="00AE707F" w:rsidRPr="00535562" w:rsidRDefault="00AE707F" w:rsidP="00AE707F">
      <w:pPr>
        <w:spacing w:line="280" w:lineRule="exact"/>
        <w:ind w:left="2608"/>
        <w:jc w:val="both"/>
        <w:rPr>
          <w:rFonts w:cs="Times New Roman"/>
        </w:rPr>
      </w:pPr>
      <w:r w:rsidRPr="00535562">
        <w:rPr>
          <w:rFonts w:cs="Times New Roman"/>
        </w:rPr>
        <w:t>Palveluvalikoimaan kuuluvan toiminnan on terveydenhuoltolain 7a §:n 1 momentin mukaan oltava lääketieteellisesti tai hammaslääketieteellisesti perusteltua. Perusteltavuutta arvioidaan suhteuttamalla toisiinsa vaikuttavuus, turvallisuus ja terveysongelman vakavuus.</w:t>
      </w:r>
    </w:p>
    <w:p w14:paraId="7EE1B5F7" w14:textId="77777777" w:rsidR="00AE707F" w:rsidRPr="00535562" w:rsidRDefault="00AE707F" w:rsidP="00AE707F">
      <w:pPr>
        <w:spacing w:line="280" w:lineRule="exact"/>
        <w:jc w:val="both"/>
        <w:rPr>
          <w:rFonts w:cs="Times New Roman"/>
        </w:rPr>
      </w:pPr>
    </w:p>
    <w:p w14:paraId="7EE1B5F8" w14:textId="77777777" w:rsidR="00AE707F" w:rsidRPr="00535562" w:rsidRDefault="00AE707F" w:rsidP="00AE707F">
      <w:pPr>
        <w:spacing w:line="280" w:lineRule="exact"/>
        <w:ind w:left="2608"/>
        <w:jc w:val="both"/>
        <w:rPr>
          <w:rFonts w:cs="Times New Roman"/>
          <w:b/>
          <w:i/>
          <w:sz w:val="22"/>
          <w:szCs w:val="22"/>
        </w:rPr>
      </w:pPr>
      <w:r w:rsidRPr="00535562">
        <w:rPr>
          <w:rFonts w:cs="Times New Roman"/>
        </w:rPr>
        <w:t>Vaikuttavuutta ja turvallisuutta arvioidaan suhteessa hoidettavan terveysongelman vakavuuteen tutkimustiedon ja muun näytön perusteella. Toiminnalla on oltava näytön perusteella riittävä vaikuttavuus ja siihen liittyvien riskien suuruuden on oltava hyväksyttäviä</w:t>
      </w:r>
      <w:r w:rsidRPr="00535562">
        <w:rPr>
          <w:rFonts w:cs="Times New Roman"/>
          <w:b/>
          <w:i/>
          <w:sz w:val="22"/>
          <w:szCs w:val="22"/>
        </w:rPr>
        <w:t>.</w:t>
      </w:r>
    </w:p>
    <w:p w14:paraId="7EE1B5F9" w14:textId="6472F59F" w:rsidR="00AE707F" w:rsidRDefault="00AE707F" w:rsidP="00AE707F">
      <w:pPr>
        <w:ind w:left="2608"/>
        <w:rPr>
          <w:rFonts w:cs="Times New Roman"/>
          <w:szCs w:val="20"/>
        </w:rPr>
      </w:pPr>
    </w:p>
    <w:p w14:paraId="5B1463D2" w14:textId="74B16A90" w:rsidR="00B11F25" w:rsidRDefault="00E43210" w:rsidP="00AE707F">
      <w:pPr>
        <w:ind w:left="2608"/>
        <w:rPr>
          <w:rFonts w:cs="Times New Roman"/>
          <w:szCs w:val="20"/>
        </w:rPr>
      </w:pPr>
      <w:r>
        <w:rPr>
          <w:rFonts w:cs="Times New Roman"/>
          <w:szCs w:val="20"/>
        </w:rPr>
        <w:t xml:space="preserve">ELIANA-tutkimuksessa 60 % infuusion saaneista </w:t>
      </w:r>
      <w:r w:rsidR="00B11F25">
        <w:rPr>
          <w:rFonts w:cs="Times New Roman"/>
          <w:szCs w:val="20"/>
        </w:rPr>
        <w:t>potilaista saavutti täydellisen remission (CR) ja 21 % täydellisen remission ilman veriarvojen korjaantumista (</w:t>
      </w:r>
      <w:proofErr w:type="spellStart"/>
      <w:r w:rsidR="00B11F25">
        <w:rPr>
          <w:rFonts w:cs="Times New Roman"/>
          <w:szCs w:val="20"/>
        </w:rPr>
        <w:t>CRi</w:t>
      </w:r>
      <w:proofErr w:type="spellEnd"/>
      <w:r w:rsidR="00B11F25">
        <w:rPr>
          <w:rFonts w:cs="Times New Roman"/>
          <w:szCs w:val="20"/>
        </w:rPr>
        <w:t xml:space="preserve">). Hoidon </w:t>
      </w:r>
      <w:r w:rsidR="00CD358C">
        <w:rPr>
          <w:rFonts w:cs="Times New Roman"/>
          <w:szCs w:val="20"/>
        </w:rPr>
        <w:t xml:space="preserve">saaneiden potilaiden </w:t>
      </w:r>
      <w:proofErr w:type="spellStart"/>
      <w:r w:rsidR="00CD358C">
        <w:rPr>
          <w:rFonts w:cs="Times New Roman"/>
          <w:szCs w:val="20"/>
        </w:rPr>
        <w:t>elossaoloajan</w:t>
      </w:r>
      <w:proofErr w:type="spellEnd"/>
      <w:r w:rsidR="00CD358C">
        <w:rPr>
          <w:rFonts w:cs="Times New Roman"/>
          <w:szCs w:val="20"/>
        </w:rPr>
        <w:t xml:space="preserve"> mediaani oli 19,1 kuukautta. P</w:t>
      </w:r>
      <w:r w:rsidR="0012104E">
        <w:rPr>
          <w:rFonts w:cs="Times New Roman"/>
          <w:szCs w:val="20"/>
        </w:rPr>
        <w:t>otilaista 76 % oli e</w:t>
      </w:r>
      <w:r w:rsidR="00B11F25">
        <w:rPr>
          <w:rFonts w:cs="Times New Roman"/>
          <w:szCs w:val="20"/>
        </w:rPr>
        <w:t>lossa 12 kuukauden kuluttua infuusiosta. Myös kahdessa muussa arvioidussa tutkimuksessa suurin osa potilaista sai vastetta hoidolle ja kutakuinkin vastaava määrä potilaista oli elossa vuoden kohdalla hoidosta</w:t>
      </w:r>
      <w:r w:rsidR="0012393E">
        <w:rPr>
          <w:rFonts w:cs="Times New Roman"/>
          <w:szCs w:val="20"/>
        </w:rPr>
        <w:t xml:space="preserve">. </w:t>
      </w:r>
      <w:r w:rsidR="00A10658">
        <w:rPr>
          <w:rFonts w:cs="Times New Roman"/>
          <w:szCs w:val="20"/>
        </w:rPr>
        <w:t xml:space="preserve">On kuitenkin huomioitava, että </w:t>
      </w:r>
      <w:r w:rsidR="002D3855">
        <w:rPr>
          <w:rFonts w:cs="Times New Roman"/>
          <w:szCs w:val="20"/>
        </w:rPr>
        <w:t>jopa lähes viidennes</w:t>
      </w:r>
      <w:r w:rsidR="00A10658">
        <w:rPr>
          <w:rFonts w:cs="Times New Roman"/>
          <w:szCs w:val="20"/>
        </w:rPr>
        <w:t xml:space="preserve"> potilaista menehtyy CAR-T </w:t>
      </w:r>
      <w:r w:rsidR="00D707D0">
        <w:rPr>
          <w:rFonts w:cs="Times New Roman"/>
          <w:szCs w:val="20"/>
        </w:rPr>
        <w:t>-</w:t>
      </w:r>
      <w:r w:rsidR="00A10658">
        <w:rPr>
          <w:rFonts w:cs="Times New Roman"/>
          <w:szCs w:val="20"/>
        </w:rPr>
        <w:t xml:space="preserve">solujen valmistamisen aikana. </w:t>
      </w:r>
    </w:p>
    <w:p w14:paraId="25BC8120" w14:textId="77777777" w:rsidR="00B11F25" w:rsidRDefault="00B11F25" w:rsidP="00AE707F">
      <w:pPr>
        <w:ind w:left="2608"/>
        <w:rPr>
          <w:rFonts w:cs="Times New Roman"/>
          <w:szCs w:val="20"/>
        </w:rPr>
      </w:pPr>
    </w:p>
    <w:p w14:paraId="2945B067" w14:textId="7A714061" w:rsidR="00ED0791" w:rsidRDefault="00B11F25" w:rsidP="00AE707F">
      <w:pPr>
        <w:ind w:left="2608"/>
        <w:rPr>
          <w:rFonts w:cs="Times New Roman"/>
          <w:szCs w:val="20"/>
        </w:rPr>
      </w:pPr>
      <w:r>
        <w:rPr>
          <w:rFonts w:cs="Times New Roman"/>
          <w:szCs w:val="20"/>
        </w:rPr>
        <w:t xml:space="preserve">Varsin lupaavista hoitotuloksista huolimatta tutkimusnäyttö </w:t>
      </w:r>
      <w:proofErr w:type="spellStart"/>
      <w:r>
        <w:rPr>
          <w:rFonts w:cs="Times New Roman"/>
          <w:szCs w:val="20"/>
        </w:rPr>
        <w:t>tisagenlekleusiili</w:t>
      </w:r>
      <w:proofErr w:type="spellEnd"/>
      <w:r w:rsidR="002016BE">
        <w:rPr>
          <w:rFonts w:cs="Times New Roman"/>
          <w:szCs w:val="20"/>
        </w:rPr>
        <w:t>-</w:t>
      </w:r>
      <w:r>
        <w:rPr>
          <w:rFonts w:cs="Times New Roman"/>
          <w:szCs w:val="20"/>
        </w:rPr>
        <w:t xml:space="preserve">hoidon vaikuttavuudesta ja turvallisuudesta on vielä rajallista. </w:t>
      </w:r>
      <w:r w:rsidR="00A318BD">
        <w:rPr>
          <w:rFonts w:cs="Times New Roman"/>
          <w:szCs w:val="20"/>
        </w:rPr>
        <w:t>H</w:t>
      </w:r>
      <w:r>
        <w:rPr>
          <w:rFonts w:cs="Times New Roman"/>
          <w:szCs w:val="20"/>
        </w:rPr>
        <w:t>oitomuotoon</w:t>
      </w:r>
      <w:r w:rsidR="00A318BD">
        <w:rPr>
          <w:rFonts w:cs="Times New Roman"/>
          <w:szCs w:val="20"/>
        </w:rPr>
        <w:t xml:space="preserve"> </w:t>
      </w:r>
      <w:r>
        <w:rPr>
          <w:rFonts w:cs="Times New Roman"/>
          <w:szCs w:val="20"/>
        </w:rPr>
        <w:t xml:space="preserve">tiedetään </w:t>
      </w:r>
      <w:r w:rsidR="00A318BD">
        <w:rPr>
          <w:rFonts w:cs="Times New Roman"/>
          <w:szCs w:val="20"/>
        </w:rPr>
        <w:t>liittyvän vakavia ja hengenvaarallisia haittavaikutuksia.</w:t>
      </w:r>
      <w:r w:rsidR="00717130">
        <w:rPr>
          <w:rFonts w:cs="Times New Roman"/>
          <w:szCs w:val="20"/>
        </w:rPr>
        <w:t xml:space="preserve"> </w:t>
      </w:r>
      <w:r w:rsidR="0012393E">
        <w:rPr>
          <w:rFonts w:cs="Times New Roman"/>
          <w:szCs w:val="20"/>
        </w:rPr>
        <w:t xml:space="preserve">Saadut tulokset tässä käyttöaiheessa ovat </w:t>
      </w:r>
      <w:r w:rsidR="00717130">
        <w:rPr>
          <w:rFonts w:cs="Times New Roman"/>
          <w:szCs w:val="20"/>
        </w:rPr>
        <w:t>kuitenkin merkittäviä</w:t>
      </w:r>
      <w:r w:rsidR="0012393E">
        <w:rPr>
          <w:rFonts w:cs="Times New Roman"/>
          <w:szCs w:val="20"/>
        </w:rPr>
        <w:t xml:space="preserve"> huomioiden potilasryhmän huono ennuste </w:t>
      </w:r>
      <w:r w:rsidR="002A7F20">
        <w:rPr>
          <w:rFonts w:cs="Times New Roman"/>
          <w:szCs w:val="20"/>
        </w:rPr>
        <w:t xml:space="preserve">ilman tätä hoitoa </w:t>
      </w:r>
      <w:r w:rsidR="0012393E">
        <w:rPr>
          <w:rFonts w:cs="Times New Roman"/>
          <w:szCs w:val="20"/>
        </w:rPr>
        <w:t>ja muiden h</w:t>
      </w:r>
      <w:r w:rsidR="00717130">
        <w:rPr>
          <w:rFonts w:cs="Times New Roman"/>
          <w:szCs w:val="20"/>
        </w:rPr>
        <w:t>oitovaihtoehtojen rajallisuus.</w:t>
      </w:r>
      <w:r w:rsidR="00A10658">
        <w:rPr>
          <w:rFonts w:cs="Times New Roman"/>
          <w:szCs w:val="20"/>
        </w:rPr>
        <w:t xml:space="preserve"> </w:t>
      </w:r>
    </w:p>
    <w:p w14:paraId="1A5B34E7" w14:textId="62CB3B2A" w:rsidR="00A318BD" w:rsidRDefault="00A318BD" w:rsidP="00AE707F">
      <w:pPr>
        <w:ind w:left="2608"/>
        <w:rPr>
          <w:rFonts w:cs="Times New Roman"/>
          <w:szCs w:val="20"/>
        </w:rPr>
      </w:pPr>
    </w:p>
    <w:p w14:paraId="29A9973F" w14:textId="0D461E31" w:rsidR="00A318BD" w:rsidRPr="00535562" w:rsidRDefault="00A318BD" w:rsidP="00AE707F">
      <w:pPr>
        <w:ind w:left="2608"/>
        <w:rPr>
          <w:rFonts w:cs="Times New Roman"/>
          <w:szCs w:val="20"/>
        </w:rPr>
      </w:pPr>
      <w:r>
        <w:rPr>
          <w:rFonts w:cs="Times New Roman"/>
          <w:szCs w:val="20"/>
        </w:rPr>
        <w:lastRenderedPageBreak/>
        <w:t xml:space="preserve">Palko katsoo edellä todetuilla perusteilla, että </w:t>
      </w:r>
      <w:r w:rsidR="00C30D89">
        <w:rPr>
          <w:rFonts w:cs="Times New Roman"/>
          <w:szCs w:val="20"/>
        </w:rPr>
        <w:t xml:space="preserve">B-solulinjan </w:t>
      </w:r>
      <w:proofErr w:type="spellStart"/>
      <w:r w:rsidR="00C30D89">
        <w:rPr>
          <w:rFonts w:cs="Times New Roman"/>
          <w:szCs w:val="20"/>
        </w:rPr>
        <w:t>ALL</w:t>
      </w:r>
      <w:proofErr w:type="gramStart"/>
      <w:r w:rsidR="002A7F20">
        <w:rPr>
          <w:rFonts w:cs="Times New Roman"/>
          <w:szCs w:val="20"/>
        </w:rPr>
        <w:t>:n</w:t>
      </w:r>
      <w:proofErr w:type="spellEnd"/>
      <w:r w:rsidR="002A7F20">
        <w:rPr>
          <w:rFonts w:cs="Times New Roman"/>
          <w:szCs w:val="20"/>
        </w:rPr>
        <w:t xml:space="preserve"> </w:t>
      </w:r>
      <w:r w:rsidR="00C30D89">
        <w:rPr>
          <w:rFonts w:cs="Times New Roman"/>
          <w:szCs w:val="20"/>
        </w:rPr>
        <w:t xml:space="preserve"> </w:t>
      </w:r>
      <w:r>
        <w:rPr>
          <w:rFonts w:cs="Times New Roman"/>
          <w:szCs w:val="20"/>
        </w:rPr>
        <w:t>hoidossa</w:t>
      </w:r>
      <w:proofErr w:type="gramEnd"/>
      <w:r>
        <w:rPr>
          <w:rFonts w:cs="Times New Roman"/>
          <w:szCs w:val="20"/>
        </w:rPr>
        <w:t xml:space="preserve"> </w:t>
      </w:r>
      <w:proofErr w:type="spellStart"/>
      <w:r>
        <w:rPr>
          <w:rFonts w:cs="Times New Roman"/>
          <w:szCs w:val="20"/>
        </w:rPr>
        <w:t>tisagenlekleuseelihoito</w:t>
      </w:r>
      <w:proofErr w:type="spellEnd"/>
      <w:r>
        <w:rPr>
          <w:rFonts w:cs="Times New Roman"/>
          <w:szCs w:val="20"/>
        </w:rPr>
        <w:t xml:space="preserve"> </w:t>
      </w:r>
      <w:r w:rsidR="001C5351">
        <w:rPr>
          <w:rFonts w:cs="Times New Roman"/>
          <w:szCs w:val="20"/>
        </w:rPr>
        <w:t xml:space="preserve">on terveydenhuoltolain 7a </w:t>
      </w:r>
      <w:r w:rsidR="001C5351" w:rsidRPr="00535562">
        <w:rPr>
          <w:rFonts w:cs="Times New Roman"/>
        </w:rPr>
        <w:t>§:n</w:t>
      </w:r>
      <w:r w:rsidR="001C5351">
        <w:rPr>
          <w:rFonts w:cs="Times New Roman"/>
          <w:szCs w:val="20"/>
        </w:rPr>
        <w:t xml:space="preserve"> 1 momentissa tarkoitetulla tavalla lääketieteellisesti perusteltua hoitoa.</w:t>
      </w:r>
      <w:r>
        <w:rPr>
          <w:rFonts w:cs="Times New Roman"/>
          <w:szCs w:val="20"/>
        </w:rPr>
        <w:t xml:space="preserve">  </w:t>
      </w:r>
    </w:p>
    <w:p w14:paraId="7EE1B600" w14:textId="77777777" w:rsidR="00AE707F" w:rsidRPr="00535562" w:rsidRDefault="00AE707F" w:rsidP="00AE707F">
      <w:pPr>
        <w:rPr>
          <w:rFonts w:cs="Times New Roman"/>
        </w:rPr>
      </w:pPr>
    </w:p>
    <w:p w14:paraId="7EE1B601" w14:textId="77777777" w:rsidR="00AE707F" w:rsidRPr="00535562" w:rsidRDefault="00AC5D24" w:rsidP="00AE707F">
      <w:pPr>
        <w:pStyle w:val="Otsikko4"/>
        <w:ind w:left="2608"/>
      </w:pPr>
      <w:r w:rsidRPr="00535562">
        <w:t>Eettisyys ja taloudellisuus kokonaisuutena</w:t>
      </w:r>
    </w:p>
    <w:p w14:paraId="7EE1B602" w14:textId="77777777" w:rsidR="00AE707F" w:rsidRDefault="00AE707F" w:rsidP="00AE707F">
      <w:pPr>
        <w:pStyle w:val="Otsikko4"/>
        <w:ind w:left="2608"/>
        <w:rPr>
          <w:rFonts w:cs="Times New Roman"/>
        </w:rPr>
      </w:pPr>
    </w:p>
    <w:p w14:paraId="53D3B4DF" w14:textId="1208BF44" w:rsidR="00AA6475" w:rsidRPr="00D21707" w:rsidRDefault="00AE707F" w:rsidP="00AA6475">
      <w:pPr>
        <w:spacing w:line="280" w:lineRule="exact"/>
        <w:ind w:left="2608"/>
        <w:rPr>
          <w:rFonts w:cs="Times New Roman"/>
        </w:rPr>
      </w:pPr>
      <w:r w:rsidRPr="00535562">
        <w:rPr>
          <w:rFonts w:cs="Times New Roman"/>
        </w:rPr>
        <w:t>Palveluvalikoiman määrittelemisessä on terveydenhuoltolain 78a §:n 1 momentin mukaan otettava huomioon eettiset ja terveydenhuollon organisointiin liittyvät näkökohdat. Tämä tarkoittaa esimerkiksi sitä, että julkisin varoin rahoitetu</w:t>
      </w:r>
      <w:r w:rsidR="002A7F20">
        <w:rPr>
          <w:rFonts w:cs="Times New Roman"/>
        </w:rPr>
        <w:t>n</w:t>
      </w:r>
      <w:r w:rsidRPr="00535562">
        <w:rPr>
          <w:rFonts w:cs="Times New Roman"/>
        </w:rPr>
        <w:t xml:space="preserve"> terveydenhuollon toiminta rakentuu yhteiskunnassa hyväksytyille arvoille, muun muassa ihmisarvoisen kohtelun periaatteelle.</w:t>
      </w:r>
      <w:r w:rsidR="00AA6475" w:rsidRPr="00AA6475">
        <w:rPr>
          <w:rFonts w:cs="Times New Roman"/>
        </w:rPr>
        <w:t xml:space="preserve"> </w:t>
      </w:r>
      <w:r w:rsidR="00AA6475">
        <w:rPr>
          <w:rFonts w:cs="Times New Roman"/>
        </w:rPr>
        <w:t xml:space="preserve">Käytettävissä olevat voimavarat </w:t>
      </w:r>
      <w:r w:rsidR="00AA6475" w:rsidRPr="00D21707">
        <w:rPr>
          <w:rFonts w:cs="Times New Roman"/>
        </w:rPr>
        <w:t>pyritään jakamaan oikeudenmukaisesti terveydenhuoltopalveluja tarvitsevien kesken. Erityisesti kalliiden uusien menetelmien käyttöönottoa arvioidaan myös yhteiskunnan ja terveydenhuoltojärjestelmän</w:t>
      </w:r>
      <w:r w:rsidR="00AA6475" w:rsidRPr="00241722">
        <w:t xml:space="preserve"> </w:t>
      </w:r>
      <w:r w:rsidR="00AA6475">
        <w:t xml:space="preserve">käytettävissä olevien taloudellisten voimavarojen kannalta. </w:t>
      </w:r>
      <w:r w:rsidR="00AA6475" w:rsidRPr="00D21707">
        <w:rPr>
          <w:rFonts w:cs="Times New Roman"/>
        </w:rPr>
        <w:t xml:space="preserve"> </w:t>
      </w:r>
    </w:p>
    <w:p w14:paraId="7EE1B604" w14:textId="080E64F1" w:rsidR="00AE707F" w:rsidRPr="00535562" w:rsidRDefault="00AE707F" w:rsidP="00046725">
      <w:pPr>
        <w:spacing w:line="280" w:lineRule="exact"/>
        <w:ind w:left="2608"/>
        <w:rPr>
          <w:rFonts w:cs="Times New Roman"/>
        </w:rPr>
      </w:pPr>
    </w:p>
    <w:p w14:paraId="7EE1B605" w14:textId="030349B5" w:rsidR="00AE707F" w:rsidRDefault="00AE707F" w:rsidP="00046725">
      <w:pPr>
        <w:spacing w:line="280" w:lineRule="exact"/>
        <w:ind w:left="2608"/>
        <w:rPr>
          <w:rFonts w:cs="Times New Roman"/>
        </w:rPr>
      </w:pPr>
      <w:r>
        <w:rPr>
          <w:rFonts w:cs="Times New Roman"/>
        </w:rPr>
        <w:t>J</w:t>
      </w:r>
      <w:r w:rsidRPr="00535562">
        <w:rPr>
          <w:rFonts w:cs="Times New Roman"/>
        </w:rPr>
        <w:t xml:space="preserve">ulkisesti rahoitetussa terveydenhuollossa käytettäviä lääkkeitä koskevassa päätöksenteossa tulee käyttää samoja periaatteita kuin muidenkin terveydenhuollon menetelmien kohdalla. </w:t>
      </w:r>
    </w:p>
    <w:p w14:paraId="7C40802F" w14:textId="77777777" w:rsidR="006C39D5" w:rsidRDefault="006C39D5" w:rsidP="00046725">
      <w:pPr>
        <w:spacing w:line="280" w:lineRule="exact"/>
        <w:ind w:left="2608"/>
        <w:rPr>
          <w:rFonts w:cs="Times New Roman"/>
        </w:rPr>
      </w:pPr>
    </w:p>
    <w:p w14:paraId="7EE1B607" w14:textId="3ECBDBCE" w:rsidR="00AE707F" w:rsidRDefault="003201D5" w:rsidP="006950D1">
      <w:pPr>
        <w:spacing w:line="280" w:lineRule="exact"/>
        <w:ind w:left="2608"/>
        <w:rPr>
          <w:rFonts w:cs="Times New Roman"/>
        </w:rPr>
      </w:pPr>
      <w:proofErr w:type="spellStart"/>
      <w:r>
        <w:rPr>
          <w:rFonts w:cs="Times New Roman"/>
        </w:rPr>
        <w:t>Tisagenlekleuseelihoito</w:t>
      </w:r>
      <w:proofErr w:type="spellEnd"/>
      <w:r>
        <w:rPr>
          <w:rFonts w:cs="Times New Roman"/>
        </w:rPr>
        <w:t xml:space="preserve"> on erittäin kallista. </w:t>
      </w:r>
      <w:r w:rsidR="00ED0791">
        <w:rPr>
          <w:rFonts w:cs="Times New Roman"/>
        </w:rPr>
        <w:t>Hoidon kliinisiin vaikutuksiin ja kustannusvaikuttavuuteen liittyy merkittävää epävarmuutta.</w:t>
      </w:r>
      <w:r w:rsidR="006C39D5">
        <w:rPr>
          <w:rFonts w:cs="Times New Roman"/>
        </w:rPr>
        <w:t xml:space="preserve"> Hoidon käyttöönotto voisi olla perusteltua alennetulla hinnalla </w:t>
      </w:r>
      <w:r w:rsidR="00FA3E93">
        <w:rPr>
          <w:rFonts w:cs="Times New Roman"/>
        </w:rPr>
        <w:t>esim</w:t>
      </w:r>
      <w:r w:rsidR="002D3855">
        <w:rPr>
          <w:rFonts w:cs="Times New Roman"/>
        </w:rPr>
        <w:t>erkiksi</w:t>
      </w:r>
      <w:r w:rsidR="006C39D5">
        <w:rPr>
          <w:rFonts w:cs="Times New Roman"/>
        </w:rPr>
        <w:t xml:space="preserve"> hallitun </w:t>
      </w:r>
      <w:proofErr w:type="spellStart"/>
      <w:r w:rsidR="006C39D5">
        <w:rPr>
          <w:rFonts w:cs="Times New Roman"/>
        </w:rPr>
        <w:t>käyttönoton</w:t>
      </w:r>
      <w:proofErr w:type="spellEnd"/>
      <w:r w:rsidR="006C39D5">
        <w:rPr>
          <w:rFonts w:cs="Times New Roman"/>
        </w:rPr>
        <w:t xml:space="preserve"> sopimuksen puitteissa.</w:t>
      </w:r>
      <w:r w:rsidR="006950D1">
        <w:rPr>
          <w:rFonts w:cs="Times New Roman"/>
        </w:rPr>
        <w:t xml:space="preserve"> Eettiset näkökohdat puoltavat </w:t>
      </w:r>
      <w:proofErr w:type="spellStart"/>
      <w:r w:rsidR="006950D1">
        <w:rPr>
          <w:rFonts w:cs="Times New Roman"/>
        </w:rPr>
        <w:t>tisagenlekleusiilihoidon</w:t>
      </w:r>
      <w:proofErr w:type="spellEnd"/>
      <w:r w:rsidR="006950D1">
        <w:rPr>
          <w:rFonts w:cs="Times New Roman"/>
        </w:rPr>
        <w:t xml:space="preserve"> sisällyttämistä palveluvalikoimaan nyt arvioidussa käyttöaiheessa.</w:t>
      </w:r>
    </w:p>
    <w:p w14:paraId="7C2CC88C" w14:textId="77777777" w:rsidR="006950D1" w:rsidRPr="00535562" w:rsidRDefault="006950D1" w:rsidP="00EB5E1A">
      <w:pPr>
        <w:spacing w:line="280" w:lineRule="exact"/>
        <w:rPr>
          <w:rFonts w:cs="Times New Roman"/>
        </w:rPr>
      </w:pPr>
    </w:p>
    <w:p w14:paraId="7EE1B608" w14:textId="1A634206" w:rsidR="00AE707F" w:rsidRPr="00535562" w:rsidRDefault="00352B37" w:rsidP="00352B37">
      <w:pPr>
        <w:pStyle w:val="Otsikko2"/>
      </w:pPr>
      <w:bookmarkStart w:id="37" w:name="_Toc535066144"/>
      <w:r>
        <w:t>Palkon suositus</w:t>
      </w:r>
      <w:bookmarkEnd w:id="37"/>
    </w:p>
    <w:p w14:paraId="7EE1B609" w14:textId="77777777" w:rsidR="00AE707F" w:rsidRPr="00535562" w:rsidRDefault="00AE707F" w:rsidP="00AE707F">
      <w:pPr>
        <w:ind w:left="2608"/>
        <w:rPr>
          <w:rFonts w:cs="Times New Roman"/>
        </w:rPr>
      </w:pPr>
    </w:p>
    <w:p w14:paraId="4C102B2F" w14:textId="4F96F0F6" w:rsidR="00B23516" w:rsidRDefault="00F0043C" w:rsidP="002D3855">
      <w:pPr>
        <w:ind w:left="2608"/>
        <w:rPr>
          <w:rFonts w:cs="Times New Roman"/>
        </w:rPr>
      </w:pPr>
      <w:r>
        <w:rPr>
          <w:rFonts w:cs="Times New Roman"/>
        </w:rPr>
        <w:t xml:space="preserve">Palko katsoo, että </w:t>
      </w:r>
      <w:proofErr w:type="spellStart"/>
      <w:r>
        <w:rPr>
          <w:rFonts w:cs="Times New Roman"/>
        </w:rPr>
        <w:t>tisagenlekleuseeli</w:t>
      </w:r>
      <w:proofErr w:type="spellEnd"/>
      <w:r>
        <w:rPr>
          <w:rFonts w:cs="Times New Roman"/>
        </w:rPr>
        <w:t xml:space="preserve"> kuuluu kansalliseen palveluvalikoimaan </w:t>
      </w:r>
      <w:r w:rsidR="00CA6A0B">
        <w:rPr>
          <w:rFonts w:cs="Times New Roman"/>
        </w:rPr>
        <w:t xml:space="preserve">virallisen käyttöaiheensa mukaisesti </w:t>
      </w:r>
      <w:r>
        <w:rPr>
          <w:rFonts w:cs="Times New Roman"/>
        </w:rPr>
        <w:t>lapsipotilaiden ja korkeintaan 25 vuoden ikäisten nuorten aikuispotilaiden B-solulinjan a</w:t>
      </w:r>
      <w:r w:rsidR="00632D03">
        <w:rPr>
          <w:rFonts w:cs="Times New Roman"/>
        </w:rPr>
        <w:t xml:space="preserve">kuutin </w:t>
      </w:r>
      <w:proofErr w:type="spellStart"/>
      <w:r w:rsidR="00632D03">
        <w:rPr>
          <w:rFonts w:cs="Times New Roman"/>
        </w:rPr>
        <w:t>lymfoblastisen</w:t>
      </w:r>
      <w:proofErr w:type="spellEnd"/>
      <w:r w:rsidR="00632D03">
        <w:rPr>
          <w:rFonts w:cs="Times New Roman"/>
        </w:rPr>
        <w:t xml:space="preserve"> leukemian </w:t>
      </w:r>
      <w:r w:rsidR="00C30D89">
        <w:rPr>
          <w:rFonts w:cs="Times New Roman"/>
        </w:rPr>
        <w:t xml:space="preserve">(ALL) </w:t>
      </w:r>
      <w:r>
        <w:rPr>
          <w:rFonts w:cs="Times New Roman"/>
        </w:rPr>
        <w:t>hoidossa, kun sairaus on</w:t>
      </w:r>
    </w:p>
    <w:p w14:paraId="348B39C0" w14:textId="77777777" w:rsidR="002D3855" w:rsidRPr="002D3855" w:rsidRDefault="002D3855" w:rsidP="002D3855">
      <w:pPr>
        <w:pStyle w:val="Luettelokappale"/>
        <w:numPr>
          <w:ilvl w:val="0"/>
          <w:numId w:val="26"/>
        </w:numPr>
        <w:rPr>
          <w:rFonts w:cs="Times New Roman"/>
        </w:rPr>
      </w:pPr>
      <w:r w:rsidRPr="002D3855">
        <w:rPr>
          <w:rFonts w:cs="Times New Roman"/>
        </w:rPr>
        <w:t xml:space="preserve">ei ole reagoinut aiempaan hoitoon (hoitoresistentti) </w:t>
      </w:r>
    </w:p>
    <w:p w14:paraId="5C3337D1" w14:textId="77777777" w:rsidR="002D3855" w:rsidRPr="002D3855" w:rsidRDefault="002D3855" w:rsidP="002D3855">
      <w:pPr>
        <w:pStyle w:val="Luettelokappale"/>
        <w:numPr>
          <w:ilvl w:val="0"/>
          <w:numId w:val="26"/>
        </w:numPr>
        <w:rPr>
          <w:rFonts w:cs="Times New Roman"/>
        </w:rPr>
      </w:pPr>
      <w:r w:rsidRPr="002D3855">
        <w:rPr>
          <w:rFonts w:cs="Times New Roman"/>
        </w:rPr>
        <w:t xml:space="preserve">on uusiutunut kaksi kertaa tai useammin </w:t>
      </w:r>
    </w:p>
    <w:p w14:paraId="34FA5BDA" w14:textId="028A4B10" w:rsidR="002D3855" w:rsidRPr="002D3855" w:rsidRDefault="002D3855" w:rsidP="002D3855">
      <w:pPr>
        <w:pStyle w:val="Luettelokappale"/>
        <w:numPr>
          <w:ilvl w:val="0"/>
          <w:numId w:val="26"/>
        </w:numPr>
        <w:rPr>
          <w:rFonts w:cs="Times New Roman"/>
        </w:rPr>
      </w:pPr>
      <w:r w:rsidRPr="002D3855">
        <w:rPr>
          <w:rFonts w:cs="Times New Roman"/>
        </w:rPr>
        <w:t>on uusiutunut kantasolusiirron jälkeen.</w:t>
      </w:r>
    </w:p>
    <w:p w14:paraId="71902376" w14:textId="7ACD212A" w:rsidR="00CB7139" w:rsidRDefault="00CB7139" w:rsidP="008E2ACC">
      <w:pPr>
        <w:ind w:left="2608"/>
        <w:rPr>
          <w:rFonts w:cs="Times New Roman"/>
        </w:rPr>
      </w:pPr>
    </w:p>
    <w:p w14:paraId="2A7E422B" w14:textId="64DABF92" w:rsidR="00F763D2" w:rsidRDefault="00F763D2" w:rsidP="008E2ACC">
      <w:pPr>
        <w:ind w:left="2608"/>
        <w:rPr>
          <w:rFonts w:cs="Times New Roman"/>
        </w:rPr>
      </w:pPr>
      <w:r>
        <w:rPr>
          <w:rFonts w:cs="Times New Roman"/>
        </w:rPr>
        <w:t>Suosituksen ehtona on lääkkeen hinnanalennus.</w:t>
      </w:r>
    </w:p>
    <w:p w14:paraId="61868FDC" w14:textId="34E533EE" w:rsidR="002016BE" w:rsidRDefault="002016BE">
      <w:r>
        <w:br w:type="page"/>
      </w:r>
    </w:p>
    <w:p w14:paraId="580608D4" w14:textId="77777777" w:rsidR="008E2ACC" w:rsidRPr="008E2ACC" w:rsidRDefault="008E2ACC" w:rsidP="00BB1339"/>
    <w:p w14:paraId="7EE1B61D" w14:textId="31734D59" w:rsidR="00122E73" w:rsidRDefault="00B23516" w:rsidP="00B23516">
      <w:pPr>
        <w:pStyle w:val="Otsikko2"/>
        <w:numPr>
          <w:ilvl w:val="0"/>
          <w:numId w:val="0"/>
        </w:numPr>
        <w:ind w:left="360"/>
      </w:pPr>
      <w:bookmarkStart w:id="38" w:name="_Toc535066145"/>
      <w:r>
        <w:t xml:space="preserve">Liite 1. </w:t>
      </w:r>
      <w:r w:rsidR="003B00C6">
        <w:t>Suosituksen valmistelu</w:t>
      </w:r>
      <w:bookmarkEnd w:id="38"/>
    </w:p>
    <w:p w14:paraId="7EE1B61E" w14:textId="543539A2" w:rsidR="003B00C6" w:rsidRDefault="003B00C6" w:rsidP="003B00C6"/>
    <w:p w14:paraId="18F0E0A2" w14:textId="2FC6344B" w:rsidR="0085347A" w:rsidRDefault="0085347A" w:rsidP="003B00C6"/>
    <w:p w14:paraId="140DD75F" w14:textId="77777777" w:rsidR="0085347A" w:rsidRPr="00AD7B3D" w:rsidRDefault="0085347A" w:rsidP="0085347A">
      <w:pPr>
        <w:ind w:left="2608"/>
        <w:rPr>
          <w:b/>
        </w:rPr>
      </w:pPr>
      <w:r>
        <w:rPr>
          <w:b/>
        </w:rPr>
        <w:t>Suosituksen val</w:t>
      </w:r>
      <w:r w:rsidRPr="00AD7B3D">
        <w:rPr>
          <w:b/>
        </w:rPr>
        <w:t>misteluun osalli</w:t>
      </w:r>
      <w:r>
        <w:rPr>
          <w:b/>
        </w:rPr>
        <w:t>s</w:t>
      </w:r>
      <w:r w:rsidRPr="00AD7B3D">
        <w:rPr>
          <w:b/>
        </w:rPr>
        <w:t>tuneet</w:t>
      </w:r>
    </w:p>
    <w:p w14:paraId="720C0A16" w14:textId="77777777" w:rsidR="0085347A" w:rsidRDefault="0085347A" w:rsidP="0085347A">
      <w:pPr>
        <w:ind w:left="1888"/>
      </w:pPr>
    </w:p>
    <w:p w14:paraId="52EBDF22" w14:textId="77777777" w:rsidR="0085347A" w:rsidRDefault="0085347A" w:rsidP="0085347A">
      <w:pPr>
        <w:ind w:left="2608"/>
      </w:pPr>
      <w:r>
        <w:t>Suositukset on valmisteltu Palkon lääkejaostossa (toimikausi 24.8.2017–30.6.2020), johon kuuluvat:</w:t>
      </w:r>
    </w:p>
    <w:p w14:paraId="3DDBFFFB" w14:textId="77777777" w:rsidR="0085347A" w:rsidRPr="00AD7B3D" w:rsidRDefault="0085347A" w:rsidP="0085347A">
      <w:pPr>
        <w:spacing w:before="100" w:beforeAutospacing="1" w:after="100" w:afterAutospacing="1"/>
        <w:ind w:left="2608"/>
        <w:rPr>
          <w:rFonts w:cs="Times New Roman"/>
        </w:rPr>
      </w:pPr>
      <w:r w:rsidRPr="00AD7B3D">
        <w:rPr>
          <w:rFonts w:cs="Times New Roman"/>
          <w:bCs/>
        </w:rPr>
        <w:t>Puheenjohtaja</w:t>
      </w:r>
      <w:r w:rsidRPr="00AD7B3D">
        <w:rPr>
          <w:rFonts w:cs="Times New Roman"/>
        </w:rPr>
        <w:t xml:space="preserve">: Miia Turpeinen, arviointiylilääkäri, </w:t>
      </w:r>
      <w:proofErr w:type="spellStart"/>
      <w:r w:rsidRPr="00AD7B3D">
        <w:rPr>
          <w:rFonts w:cs="Times New Roman"/>
        </w:rPr>
        <w:t>Pohjois</w:t>
      </w:r>
      <w:proofErr w:type="spellEnd"/>
      <w:r w:rsidRPr="00AD7B3D">
        <w:rPr>
          <w:rFonts w:cs="Times New Roman"/>
        </w:rPr>
        <w:t>-Pohjanmaan sairaanhoitopiiri</w:t>
      </w:r>
    </w:p>
    <w:p w14:paraId="3BF817DA" w14:textId="77777777" w:rsidR="0085347A" w:rsidRPr="00AD7B3D" w:rsidRDefault="0085347A" w:rsidP="0085347A">
      <w:pPr>
        <w:spacing w:before="100" w:beforeAutospacing="1" w:after="100" w:afterAutospacing="1"/>
        <w:ind w:left="2608"/>
        <w:rPr>
          <w:rFonts w:cs="Times New Roman"/>
        </w:rPr>
      </w:pPr>
      <w:r w:rsidRPr="00AD7B3D">
        <w:rPr>
          <w:rFonts w:cs="Times New Roman"/>
          <w:bCs/>
        </w:rPr>
        <w:t>Jäsenet:</w:t>
      </w:r>
    </w:p>
    <w:p w14:paraId="37B7CD9A" w14:textId="77777777" w:rsidR="0085347A" w:rsidRDefault="0085347A" w:rsidP="0085347A">
      <w:pPr>
        <w:numPr>
          <w:ilvl w:val="0"/>
          <w:numId w:val="28"/>
        </w:numPr>
        <w:tabs>
          <w:tab w:val="clear" w:pos="720"/>
          <w:tab w:val="num" w:pos="3328"/>
        </w:tabs>
        <w:spacing w:before="100" w:beforeAutospacing="1" w:after="100" w:afterAutospacing="1"/>
        <w:ind w:left="3328"/>
        <w:rPr>
          <w:rFonts w:cs="Times New Roman"/>
        </w:rPr>
      </w:pPr>
      <w:r>
        <w:rPr>
          <w:rFonts w:cs="Times New Roman"/>
          <w:color w:val="000000"/>
        </w:rPr>
        <w:t>professori Risto Huupponen, Turun yliopisto</w:t>
      </w:r>
    </w:p>
    <w:p w14:paraId="21576AC2" w14:textId="77777777" w:rsidR="0085347A" w:rsidRDefault="0085347A" w:rsidP="0085347A">
      <w:pPr>
        <w:numPr>
          <w:ilvl w:val="0"/>
          <w:numId w:val="28"/>
        </w:numPr>
        <w:tabs>
          <w:tab w:val="clear" w:pos="720"/>
          <w:tab w:val="num" w:pos="3328"/>
        </w:tabs>
        <w:spacing w:before="100" w:beforeAutospacing="1" w:after="100" w:afterAutospacing="1"/>
        <w:ind w:left="3328"/>
        <w:rPr>
          <w:rFonts w:cs="Times New Roman"/>
        </w:rPr>
      </w:pPr>
      <w:r>
        <w:rPr>
          <w:rFonts w:cs="Times New Roman"/>
          <w:color w:val="000000"/>
        </w:rPr>
        <w:t>ylilääkäri Annikka Kalliokoski, STM/Lääkkeiden hintalautakunta (14.1.2019 saakka)</w:t>
      </w:r>
    </w:p>
    <w:p w14:paraId="31A757D7" w14:textId="77777777" w:rsidR="0085347A" w:rsidRDefault="0085347A" w:rsidP="0085347A">
      <w:pPr>
        <w:numPr>
          <w:ilvl w:val="0"/>
          <w:numId w:val="28"/>
        </w:numPr>
        <w:tabs>
          <w:tab w:val="clear" w:pos="720"/>
          <w:tab w:val="num" w:pos="3328"/>
        </w:tabs>
        <w:spacing w:before="100" w:beforeAutospacing="1" w:after="100" w:afterAutospacing="1"/>
        <w:ind w:left="3328"/>
        <w:rPr>
          <w:rFonts w:cs="Times New Roman"/>
        </w:rPr>
      </w:pPr>
      <w:r>
        <w:rPr>
          <w:rFonts w:cs="Times New Roman"/>
          <w:color w:val="000000"/>
        </w:rPr>
        <w:t>dosentti Heikki Lukkarinen, Varsinais-Suomen sairaanhoitopiiri</w:t>
      </w:r>
    </w:p>
    <w:p w14:paraId="7BE191E4" w14:textId="77777777" w:rsidR="0085347A" w:rsidRDefault="0085347A" w:rsidP="0085347A">
      <w:pPr>
        <w:numPr>
          <w:ilvl w:val="0"/>
          <w:numId w:val="28"/>
        </w:numPr>
        <w:tabs>
          <w:tab w:val="clear" w:pos="720"/>
          <w:tab w:val="num" w:pos="3328"/>
        </w:tabs>
        <w:spacing w:before="100" w:beforeAutospacing="1" w:after="100" w:afterAutospacing="1"/>
        <w:ind w:left="3328"/>
        <w:rPr>
          <w:rFonts w:cs="Times New Roman"/>
        </w:rPr>
      </w:pPr>
      <w:r>
        <w:rPr>
          <w:rFonts w:cs="Times New Roman"/>
          <w:color w:val="000000"/>
        </w:rPr>
        <w:t>professori Marja Blom, Helsingin yliopisto</w:t>
      </w:r>
    </w:p>
    <w:p w14:paraId="17A6E046" w14:textId="77777777" w:rsidR="0085347A" w:rsidRDefault="0085347A" w:rsidP="0085347A">
      <w:pPr>
        <w:numPr>
          <w:ilvl w:val="0"/>
          <w:numId w:val="28"/>
        </w:numPr>
        <w:tabs>
          <w:tab w:val="clear" w:pos="720"/>
          <w:tab w:val="num" w:pos="3328"/>
        </w:tabs>
        <w:spacing w:before="100" w:beforeAutospacing="1" w:after="100" w:afterAutospacing="1"/>
        <w:ind w:left="3328"/>
        <w:rPr>
          <w:rFonts w:cs="Times New Roman"/>
        </w:rPr>
      </w:pPr>
      <w:r>
        <w:rPr>
          <w:rFonts w:cs="Times New Roman"/>
          <w:color w:val="000000"/>
        </w:rPr>
        <w:t>johtava ylilääkäri Ilona Autti-Rämö, Kela</w:t>
      </w:r>
    </w:p>
    <w:p w14:paraId="77F6AE6D" w14:textId="77777777" w:rsidR="0085347A" w:rsidRDefault="0085347A" w:rsidP="0085347A">
      <w:pPr>
        <w:numPr>
          <w:ilvl w:val="0"/>
          <w:numId w:val="28"/>
        </w:numPr>
        <w:tabs>
          <w:tab w:val="clear" w:pos="720"/>
          <w:tab w:val="num" w:pos="3328"/>
        </w:tabs>
        <w:spacing w:before="100" w:beforeAutospacing="1" w:after="100" w:afterAutospacing="1"/>
        <w:ind w:left="3328"/>
        <w:rPr>
          <w:rFonts w:cs="Times New Roman"/>
        </w:rPr>
      </w:pPr>
      <w:r>
        <w:rPr>
          <w:rFonts w:cs="Times New Roman"/>
          <w:color w:val="000000"/>
        </w:rPr>
        <w:t xml:space="preserve">lääketaloustieteilijä Piia Rannanheimo, </w:t>
      </w:r>
      <w:proofErr w:type="spellStart"/>
      <w:r>
        <w:rPr>
          <w:rFonts w:cs="Times New Roman"/>
          <w:color w:val="000000"/>
        </w:rPr>
        <w:t>Fimea</w:t>
      </w:r>
      <w:proofErr w:type="spellEnd"/>
    </w:p>
    <w:p w14:paraId="4D8E7300" w14:textId="77777777" w:rsidR="0085347A" w:rsidRDefault="0085347A" w:rsidP="0085347A">
      <w:pPr>
        <w:numPr>
          <w:ilvl w:val="0"/>
          <w:numId w:val="28"/>
        </w:numPr>
        <w:tabs>
          <w:tab w:val="clear" w:pos="720"/>
          <w:tab w:val="num" w:pos="3328"/>
        </w:tabs>
        <w:spacing w:before="100" w:beforeAutospacing="1" w:after="100" w:afterAutospacing="1"/>
        <w:ind w:left="3328"/>
        <w:rPr>
          <w:rFonts w:cs="Times New Roman"/>
        </w:rPr>
      </w:pPr>
      <w:r>
        <w:rPr>
          <w:rFonts w:cs="Times New Roman"/>
          <w:color w:val="000000"/>
        </w:rPr>
        <w:t>johtajaylilääkäri Vesa Kataja, Keski-Suomen sairaanhoitopiiri</w:t>
      </w:r>
    </w:p>
    <w:p w14:paraId="6CDE93F3" w14:textId="77777777" w:rsidR="0085347A" w:rsidRDefault="0085347A" w:rsidP="0085347A">
      <w:pPr>
        <w:numPr>
          <w:ilvl w:val="0"/>
          <w:numId w:val="28"/>
        </w:numPr>
        <w:tabs>
          <w:tab w:val="clear" w:pos="720"/>
          <w:tab w:val="num" w:pos="3328"/>
        </w:tabs>
        <w:spacing w:before="100" w:beforeAutospacing="1" w:after="100" w:afterAutospacing="1"/>
        <w:ind w:left="3328"/>
        <w:rPr>
          <w:rFonts w:cs="Times New Roman"/>
        </w:rPr>
      </w:pPr>
      <w:r>
        <w:rPr>
          <w:rFonts w:cs="Times New Roman"/>
          <w:color w:val="000000"/>
        </w:rPr>
        <w:t>ylilääkäri Asko Järvinen, Helsingin ja Uudenmaan sairaanhoitopiiri (4.10.2017 alkaen)</w:t>
      </w:r>
    </w:p>
    <w:p w14:paraId="31DEC006" w14:textId="77777777" w:rsidR="0085347A" w:rsidRDefault="0085347A" w:rsidP="0085347A">
      <w:pPr>
        <w:numPr>
          <w:ilvl w:val="0"/>
          <w:numId w:val="28"/>
        </w:numPr>
        <w:tabs>
          <w:tab w:val="clear" w:pos="720"/>
          <w:tab w:val="num" w:pos="3328"/>
        </w:tabs>
        <w:spacing w:before="100" w:beforeAutospacing="1" w:after="100" w:afterAutospacing="1"/>
        <w:ind w:left="3328"/>
        <w:rPr>
          <w:rFonts w:cs="Times New Roman"/>
        </w:rPr>
      </w:pPr>
      <w:r>
        <w:rPr>
          <w:rFonts w:cs="Times New Roman"/>
          <w:color w:val="000000"/>
        </w:rPr>
        <w:t>arviointiylilääkäri Anna-Kaisa Parkkila, Pirkanmaan sairaanhoitopiiri</w:t>
      </w:r>
      <w:r>
        <w:rPr>
          <w:rFonts w:cs="Times New Roman"/>
        </w:rPr>
        <w:t> </w:t>
      </w:r>
      <w:r>
        <w:rPr>
          <w:rFonts w:cs="Times New Roman"/>
          <w:color w:val="000000"/>
        </w:rPr>
        <w:t>(4.10.2017 alkaen)</w:t>
      </w:r>
    </w:p>
    <w:p w14:paraId="49796BA3" w14:textId="2970D683" w:rsidR="0085347A" w:rsidRDefault="0085347A" w:rsidP="0085347A">
      <w:pPr>
        <w:spacing w:before="100" w:beforeAutospacing="1" w:after="100" w:afterAutospacing="1"/>
        <w:ind w:left="2608"/>
        <w:rPr>
          <w:rFonts w:cs="Times New Roman"/>
        </w:rPr>
      </w:pPr>
      <w:r>
        <w:rPr>
          <w:rFonts w:cs="Times New Roman"/>
        </w:rPr>
        <w:t>Jaoston vastuusihteerinä on toiminut erityisasiantuntija Reima Palonen.</w:t>
      </w:r>
    </w:p>
    <w:p w14:paraId="522334AA" w14:textId="77777777" w:rsidR="0085347A" w:rsidRDefault="0085347A" w:rsidP="0085347A">
      <w:pPr>
        <w:spacing w:before="100" w:beforeAutospacing="1" w:after="100" w:afterAutospacing="1"/>
        <w:ind w:left="2608"/>
        <w:rPr>
          <w:rFonts w:cs="Times New Roman"/>
        </w:rPr>
      </w:pPr>
      <w:r>
        <w:rPr>
          <w:rFonts w:cs="Times New Roman"/>
        </w:rPr>
        <w:t xml:space="preserve">Jaoston tehtävänä on </w:t>
      </w:r>
      <w:proofErr w:type="gramStart"/>
      <w:r>
        <w:rPr>
          <w:rFonts w:cs="Times New Roman"/>
        </w:rPr>
        <w:t>valmistella  sairaalalääkkeitä</w:t>
      </w:r>
      <w:proofErr w:type="gramEnd"/>
      <w:r>
        <w:rPr>
          <w:rFonts w:cs="Times New Roman"/>
        </w:rPr>
        <w:t> koskevia suosituksia.</w:t>
      </w:r>
    </w:p>
    <w:p w14:paraId="61D0F730" w14:textId="246BAFE0" w:rsidR="0085347A" w:rsidRDefault="0085347A" w:rsidP="003B00C6"/>
    <w:p w14:paraId="5246E0FE" w14:textId="1826F950" w:rsidR="0085347A" w:rsidRPr="0085347A" w:rsidRDefault="0085347A" w:rsidP="0085347A">
      <w:pPr>
        <w:ind w:left="1304"/>
        <w:rPr>
          <w:b/>
        </w:rPr>
      </w:pPr>
      <w:r>
        <w:tab/>
      </w:r>
      <w:r w:rsidRPr="0085347A">
        <w:rPr>
          <w:b/>
        </w:rPr>
        <w:t>Suosituksen valmistelun vaiheet</w:t>
      </w:r>
    </w:p>
    <w:p w14:paraId="7822501F" w14:textId="77777777" w:rsidR="0085347A" w:rsidRDefault="0085347A" w:rsidP="0085347A">
      <w:pPr>
        <w:ind w:left="1304"/>
      </w:pPr>
    </w:p>
    <w:p w14:paraId="37912F76" w14:textId="3622DF4C" w:rsidR="002016BE" w:rsidRDefault="002016BE" w:rsidP="0085347A">
      <w:pPr>
        <w:ind w:left="2608"/>
      </w:pPr>
      <w:r>
        <w:t xml:space="preserve">Marraskuu 2018 </w:t>
      </w:r>
      <w:proofErr w:type="spellStart"/>
      <w:r>
        <w:t>Fimean</w:t>
      </w:r>
      <w:proofErr w:type="spellEnd"/>
      <w:r>
        <w:t xml:space="preserve"> arviointiraportin julkaisu</w:t>
      </w:r>
    </w:p>
    <w:p w14:paraId="72DD27F2" w14:textId="503936BA" w:rsidR="002016BE" w:rsidRDefault="002016BE" w:rsidP="0085347A">
      <w:pPr>
        <w:ind w:left="2608"/>
      </w:pPr>
      <w:r>
        <w:t>Tammikuu 2019 Palkon suositusvalmistelun aloittaminen</w:t>
      </w:r>
    </w:p>
    <w:p w14:paraId="3DF55F34" w14:textId="4D8BD717" w:rsidR="002016BE" w:rsidRDefault="002016BE" w:rsidP="0085347A">
      <w:pPr>
        <w:ind w:left="2608"/>
      </w:pPr>
      <w:r>
        <w:t>21.1.2019 Lääkejaosto hyväksyi suositus- ja muistioluonnokset</w:t>
      </w:r>
    </w:p>
    <w:p w14:paraId="03B1D314" w14:textId="691B1B88" w:rsidR="002016BE" w:rsidRDefault="002016BE" w:rsidP="0085347A">
      <w:pPr>
        <w:ind w:left="2608"/>
      </w:pPr>
      <w:r>
        <w:t xml:space="preserve">5.2.2019 </w:t>
      </w:r>
      <w:r w:rsidR="0085347A">
        <w:t xml:space="preserve">Palkon kokous </w:t>
      </w:r>
      <w:r w:rsidR="0085347A" w:rsidRPr="002016BE">
        <w:t>hyväksyi</w:t>
      </w:r>
      <w:r w:rsidR="0085347A">
        <w:t xml:space="preserve"> suositus- ja muistioluonnokset</w:t>
      </w:r>
      <w:r w:rsidRPr="002016BE">
        <w:t xml:space="preserve"> </w:t>
      </w:r>
      <w:r>
        <w:t>julk</w:t>
      </w:r>
      <w:r w:rsidR="0085347A">
        <w:t xml:space="preserve">aistavaksi kommentoitavaksi </w:t>
      </w:r>
      <w:proofErr w:type="spellStart"/>
      <w:r w:rsidR="0085347A">
        <w:t>otakantaa</w:t>
      </w:r>
      <w:proofErr w:type="spellEnd"/>
      <w:r w:rsidR="0085347A">
        <w:t>-palvelussa</w:t>
      </w:r>
    </w:p>
    <w:p w14:paraId="4FFC20F3" w14:textId="1684B85A" w:rsidR="0085347A" w:rsidRDefault="0085347A" w:rsidP="0085347A">
      <w:pPr>
        <w:ind w:left="2608"/>
      </w:pPr>
      <w:r>
        <w:t xml:space="preserve">helmi-maaliskuu 2019 Luonnokset kommentoitavana </w:t>
      </w:r>
      <w:proofErr w:type="spellStart"/>
      <w:r>
        <w:t>otakantaa</w:t>
      </w:r>
      <w:proofErr w:type="spellEnd"/>
      <w:r>
        <w:t>-palvelussa</w:t>
      </w:r>
    </w:p>
    <w:p w14:paraId="7CA10EFC" w14:textId="49BE4257" w:rsidR="0085347A" w:rsidRDefault="0085347A" w:rsidP="0085347A">
      <w:pPr>
        <w:ind w:left="2608"/>
      </w:pPr>
      <w:r>
        <w:t>maaliskuu 2019 Lopullinen käsittely lääkejaostossa</w:t>
      </w:r>
    </w:p>
    <w:p w14:paraId="2303EF34" w14:textId="0E34280C" w:rsidR="0085347A" w:rsidRPr="002016BE" w:rsidRDefault="0085347A" w:rsidP="0085347A">
      <w:pPr>
        <w:ind w:left="2608"/>
      </w:pPr>
      <w:r>
        <w:t>huhtikuu 2019 Lopullinen hyväksyminen Palkon kokouksessa</w:t>
      </w:r>
    </w:p>
    <w:p w14:paraId="230F2BF8" w14:textId="695769D7" w:rsidR="002016BE" w:rsidRDefault="002016BE" w:rsidP="002016BE">
      <w:pPr>
        <w:ind w:left="2608"/>
      </w:pPr>
    </w:p>
    <w:p w14:paraId="59845823" w14:textId="77777777" w:rsidR="002016BE" w:rsidRDefault="002016BE" w:rsidP="002016BE">
      <w:pPr>
        <w:ind w:left="2608"/>
      </w:pPr>
    </w:p>
    <w:p w14:paraId="7EE1B637" w14:textId="3EFB1219" w:rsidR="003B00C6" w:rsidRDefault="00B23516" w:rsidP="00B23516">
      <w:pPr>
        <w:pStyle w:val="Otsikko2"/>
        <w:numPr>
          <w:ilvl w:val="0"/>
          <w:numId w:val="0"/>
        </w:numPr>
        <w:ind w:left="360"/>
      </w:pPr>
      <w:bookmarkStart w:id="39" w:name="_Toc535066146"/>
      <w:r>
        <w:lastRenderedPageBreak/>
        <w:t xml:space="preserve">Liite 2. </w:t>
      </w:r>
      <w:r w:rsidR="003B00C6">
        <w:t>Lähteet</w:t>
      </w:r>
      <w:bookmarkEnd w:id="39"/>
    </w:p>
    <w:p w14:paraId="3CC1096A" w14:textId="77777777" w:rsidR="00776576" w:rsidRDefault="00776576" w:rsidP="00776576"/>
    <w:p w14:paraId="645408A5" w14:textId="359A7525" w:rsidR="003B22E8" w:rsidRPr="00D707D0" w:rsidRDefault="003B22E8" w:rsidP="003B22E8">
      <w:pPr>
        <w:pStyle w:val="LhteetLeipteksti"/>
        <w:rPr>
          <w:rStyle w:val="Hyperlinkki"/>
          <w:color w:val="auto"/>
          <w:sz w:val="20"/>
          <w:szCs w:val="20"/>
          <w:u w:val="none"/>
        </w:rPr>
      </w:pPr>
      <w:r w:rsidRPr="00D707D0">
        <w:rPr>
          <w:sz w:val="20"/>
          <w:szCs w:val="20"/>
        </w:rPr>
        <w:t xml:space="preserve">AEMPS [siteerattu </w:t>
      </w:r>
      <w:r w:rsidR="008B0A5E" w:rsidRPr="00D707D0">
        <w:rPr>
          <w:sz w:val="20"/>
          <w:szCs w:val="20"/>
        </w:rPr>
        <w:t>14.1.2019</w:t>
      </w:r>
      <w:r w:rsidRPr="00D707D0">
        <w:rPr>
          <w:sz w:val="20"/>
          <w:szCs w:val="20"/>
        </w:rPr>
        <w:t xml:space="preserve">], </w:t>
      </w:r>
      <w:hyperlink r:id="rId18" w:history="1">
        <w:r w:rsidRPr="00D707D0">
          <w:rPr>
            <w:rStyle w:val="Hyperlinkki"/>
            <w:sz w:val="20"/>
            <w:szCs w:val="20"/>
          </w:rPr>
          <w:t>https://www.aemps.gob.es/medicamentosUsoHumano/informesPublicos/home.htm</w:t>
        </w:r>
      </w:hyperlink>
    </w:p>
    <w:p w14:paraId="56067C7D" w14:textId="6D3662BA" w:rsidR="003B22E8" w:rsidRPr="00D707D0" w:rsidRDefault="003B22E8" w:rsidP="003B22E8">
      <w:pPr>
        <w:pStyle w:val="LhteetLeipteksti"/>
        <w:rPr>
          <w:rStyle w:val="Hyperlinkki"/>
          <w:color w:val="auto"/>
          <w:sz w:val="20"/>
          <w:szCs w:val="20"/>
          <w:u w:val="none"/>
        </w:rPr>
      </w:pPr>
      <w:r w:rsidRPr="00D707D0">
        <w:rPr>
          <w:sz w:val="20"/>
          <w:szCs w:val="20"/>
        </w:rPr>
        <w:t xml:space="preserve">AIFA [siteerattu </w:t>
      </w:r>
      <w:r w:rsidR="008B0A5E" w:rsidRPr="00D707D0">
        <w:rPr>
          <w:sz w:val="20"/>
          <w:szCs w:val="20"/>
        </w:rPr>
        <w:t>14.1.2019</w:t>
      </w:r>
      <w:r w:rsidRPr="00D707D0">
        <w:rPr>
          <w:sz w:val="20"/>
          <w:szCs w:val="20"/>
        </w:rPr>
        <w:t xml:space="preserve">]. </w:t>
      </w:r>
      <w:hyperlink r:id="rId19" w:history="1">
        <w:r w:rsidRPr="00D707D0">
          <w:rPr>
            <w:rStyle w:val="Hyperlinkki"/>
            <w:sz w:val="20"/>
            <w:szCs w:val="20"/>
          </w:rPr>
          <w:t>http://www.aifa.gov.it/content/archivio-comunicati</w:t>
        </w:r>
      </w:hyperlink>
    </w:p>
    <w:p w14:paraId="7B6F2EF6" w14:textId="676F95F3" w:rsidR="00776576" w:rsidRPr="00D707D0" w:rsidRDefault="00776576" w:rsidP="00776576">
      <w:pPr>
        <w:pStyle w:val="LhteetLeipteksti"/>
        <w:rPr>
          <w:rStyle w:val="Hyperlinkki"/>
          <w:color w:val="auto"/>
          <w:sz w:val="20"/>
          <w:szCs w:val="20"/>
          <w:u w:val="none"/>
        </w:rPr>
      </w:pPr>
      <w:r w:rsidRPr="00D707D0">
        <w:rPr>
          <w:sz w:val="20"/>
          <w:szCs w:val="20"/>
          <w:lang w:val="en-US"/>
        </w:rPr>
        <w:t xml:space="preserve">Canadian Agency for Drugs and Technologies in Health (CADTH). </w:t>
      </w:r>
      <w:proofErr w:type="spellStart"/>
      <w:r w:rsidRPr="00D707D0">
        <w:rPr>
          <w:sz w:val="20"/>
          <w:szCs w:val="20"/>
          <w:lang w:val="en-US"/>
        </w:rPr>
        <w:t>Tisagenlecleucel</w:t>
      </w:r>
      <w:proofErr w:type="spellEnd"/>
      <w:r w:rsidRPr="00D707D0">
        <w:rPr>
          <w:sz w:val="20"/>
          <w:szCs w:val="20"/>
          <w:lang w:val="en-US"/>
        </w:rPr>
        <w:t xml:space="preserve"> (</w:t>
      </w:r>
      <w:bookmarkStart w:id="40" w:name="_GoBack"/>
      <w:proofErr w:type="spellStart"/>
      <w:r w:rsidRPr="00D707D0">
        <w:rPr>
          <w:sz w:val="20"/>
          <w:szCs w:val="20"/>
          <w:lang w:val="en-US"/>
        </w:rPr>
        <w:t>Kymriah</w:t>
      </w:r>
      <w:bookmarkEnd w:id="40"/>
      <w:proofErr w:type="spellEnd"/>
      <w:r w:rsidRPr="00D707D0">
        <w:rPr>
          <w:sz w:val="20"/>
          <w:szCs w:val="20"/>
          <w:lang w:val="en-US"/>
        </w:rPr>
        <w:t>) for Pediatric Acute Lymphoblastic Leukemia and Diffuse Large B-Cell Lymphoma [</w:t>
      </w:r>
      <w:proofErr w:type="spellStart"/>
      <w:r w:rsidRPr="00D707D0">
        <w:rPr>
          <w:sz w:val="20"/>
          <w:szCs w:val="20"/>
          <w:lang w:val="en-US"/>
        </w:rPr>
        <w:t>siteerattu</w:t>
      </w:r>
      <w:proofErr w:type="spellEnd"/>
      <w:r w:rsidRPr="00D707D0">
        <w:rPr>
          <w:sz w:val="20"/>
          <w:szCs w:val="20"/>
          <w:lang w:val="en-US"/>
        </w:rPr>
        <w:t xml:space="preserve"> </w:t>
      </w:r>
      <w:r w:rsidR="0070438C" w:rsidRPr="00D707D0">
        <w:rPr>
          <w:sz w:val="20"/>
          <w:szCs w:val="20"/>
          <w:lang w:val="en-US"/>
        </w:rPr>
        <w:t>14.1</w:t>
      </w:r>
      <w:r w:rsidRPr="00D707D0">
        <w:rPr>
          <w:sz w:val="20"/>
          <w:szCs w:val="20"/>
          <w:lang w:val="en-US"/>
        </w:rPr>
        <w:t>.201</w:t>
      </w:r>
      <w:r w:rsidR="0070438C" w:rsidRPr="00D707D0">
        <w:rPr>
          <w:sz w:val="20"/>
          <w:szCs w:val="20"/>
          <w:lang w:val="en-US"/>
        </w:rPr>
        <w:t>9</w:t>
      </w:r>
      <w:r w:rsidRPr="00D707D0">
        <w:rPr>
          <w:sz w:val="20"/>
          <w:szCs w:val="20"/>
          <w:lang w:val="en-US"/>
        </w:rPr>
        <w:t xml:space="preserve">]. </w:t>
      </w:r>
      <w:hyperlink r:id="rId20" w:history="1">
        <w:r w:rsidRPr="00D707D0">
          <w:rPr>
            <w:rStyle w:val="Hyperlinkki"/>
            <w:sz w:val="20"/>
            <w:szCs w:val="20"/>
          </w:rPr>
          <w:t>https://www.cadth.ca/tisagenlecleucel-kymriah-pediatric-acute-lymphoblastic-leukemia-and-diffuse-large-b-cell-lymphoma</w:t>
        </w:r>
      </w:hyperlink>
    </w:p>
    <w:p w14:paraId="7EDD24F5" w14:textId="025F32E1" w:rsidR="003B22E8" w:rsidRPr="00D707D0" w:rsidRDefault="003B22E8" w:rsidP="00776576">
      <w:pPr>
        <w:pStyle w:val="LhteetLeipteksti"/>
        <w:rPr>
          <w:rStyle w:val="Hyperlinkki"/>
          <w:color w:val="auto"/>
          <w:sz w:val="20"/>
          <w:szCs w:val="20"/>
          <w:u w:val="none"/>
        </w:rPr>
      </w:pPr>
      <w:r w:rsidRPr="00D707D0">
        <w:rPr>
          <w:sz w:val="20"/>
          <w:szCs w:val="20"/>
          <w:lang w:val="en-US"/>
        </w:rPr>
        <w:t xml:space="preserve">European Medicines Agency (EMA). Report on CAR T-cell therapy Registries Workshop 9 February 2018. </w:t>
      </w:r>
      <w:hyperlink r:id="rId21" w:history="1">
        <w:r w:rsidR="00D707D0" w:rsidRPr="00D707D0">
          <w:rPr>
            <w:rStyle w:val="Hyperlinkki"/>
            <w:sz w:val="20"/>
            <w:szCs w:val="20"/>
          </w:rPr>
          <w:t>www.ema.europa.eu/docs/en_GB/document_library/Report/2018/05/WC500249247.pdf</w:t>
        </w:r>
      </w:hyperlink>
    </w:p>
    <w:p w14:paraId="33C04C7C" w14:textId="737BBBC9" w:rsidR="00E93484" w:rsidRPr="00E93484" w:rsidRDefault="003B22E8" w:rsidP="00E93484">
      <w:pPr>
        <w:pStyle w:val="LhteetLeipteksti"/>
        <w:rPr>
          <w:rStyle w:val="Hyperlinkki"/>
          <w:sz w:val="20"/>
          <w:szCs w:val="20"/>
        </w:rPr>
      </w:pPr>
      <w:proofErr w:type="spellStart"/>
      <w:r w:rsidRPr="00D707D0">
        <w:rPr>
          <w:sz w:val="20"/>
          <w:szCs w:val="20"/>
        </w:rPr>
        <w:t>IQWiG</w:t>
      </w:r>
      <w:proofErr w:type="spellEnd"/>
      <w:r w:rsidRPr="00D707D0">
        <w:rPr>
          <w:sz w:val="20"/>
          <w:szCs w:val="20"/>
        </w:rPr>
        <w:t xml:space="preserve"> [siteerattu </w:t>
      </w:r>
      <w:r w:rsidR="00E93484">
        <w:rPr>
          <w:sz w:val="20"/>
          <w:szCs w:val="20"/>
        </w:rPr>
        <w:t>11</w:t>
      </w:r>
      <w:r w:rsidRPr="00D707D0">
        <w:rPr>
          <w:sz w:val="20"/>
          <w:szCs w:val="20"/>
        </w:rPr>
        <w:t>.</w:t>
      </w:r>
      <w:r w:rsidR="00E93484">
        <w:rPr>
          <w:sz w:val="20"/>
          <w:szCs w:val="20"/>
        </w:rPr>
        <w:t>2</w:t>
      </w:r>
      <w:r w:rsidRPr="00D707D0">
        <w:rPr>
          <w:sz w:val="20"/>
          <w:szCs w:val="20"/>
        </w:rPr>
        <w:t>.201</w:t>
      </w:r>
      <w:r w:rsidR="00E93484">
        <w:rPr>
          <w:sz w:val="20"/>
          <w:szCs w:val="20"/>
        </w:rPr>
        <w:t>9</w:t>
      </w:r>
      <w:r w:rsidRPr="00D707D0">
        <w:rPr>
          <w:sz w:val="20"/>
          <w:szCs w:val="20"/>
        </w:rPr>
        <w:t xml:space="preserve">]. </w:t>
      </w:r>
      <w:hyperlink r:id="rId22" w:history="1">
        <w:r w:rsidR="00E93484" w:rsidRPr="001F5E56">
          <w:rPr>
            <w:rStyle w:val="Hyperlinkki"/>
            <w:sz w:val="20"/>
            <w:szCs w:val="20"/>
          </w:rPr>
          <w:t>https://www.iqwig.de/de/projekte-ergebnisse/projekte/gesundheitsoekonomie/g18-11-tisagenlecleucel-akute-lymphatische-b-zell-leukaemie-bewertung-gemaess-35a-abs-1-satz-11-sgb-v.10617.html</w:t>
        </w:r>
      </w:hyperlink>
      <w:r w:rsidR="00E93484">
        <w:rPr>
          <w:rStyle w:val="Hyperlinkki"/>
          <w:sz w:val="20"/>
          <w:szCs w:val="20"/>
        </w:rPr>
        <w:t xml:space="preserve"> </w:t>
      </w:r>
    </w:p>
    <w:p w14:paraId="130B703E" w14:textId="78495852" w:rsidR="003B22E8" w:rsidRPr="00D707D0" w:rsidRDefault="00C94EE9" w:rsidP="00E93484">
      <w:pPr>
        <w:pStyle w:val="LhteetLeipteksti"/>
        <w:rPr>
          <w:sz w:val="20"/>
          <w:szCs w:val="20"/>
        </w:rPr>
      </w:pPr>
      <w:hyperlink r:id="rId23" w:history="1">
        <w:r w:rsidR="00E93484" w:rsidRPr="001F5E56">
          <w:rPr>
            <w:rStyle w:val="Hyperlinkki"/>
            <w:sz w:val="20"/>
            <w:szCs w:val="20"/>
          </w:rPr>
          <w:t>https://www.g-ba.de/informationen/nutzenbewertung/386/</w:t>
        </w:r>
      </w:hyperlink>
      <w:r w:rsidR="00E93484">
        <w:rPr>
          <w:rStyle w:val="Hyperlinkki"/>
          <w:sz w:val="20"/>
          <w:szCs w:val="20"/>
        </w:rPr>
        <w:t xml:space="preserve"> </w:t>
      </w:r>
    </w:p>
    <w:p w14:paraId="73697F09" w14:textId="5FBC6D25" w:rsidR="00776576" w:rsidRPr="00D707D0" w:rsidRDefault="00776576" w:rsidP="00776576">
      <w:pPr>
        <w:pStyle w:val="LhteetLeipteksti"/>
        <w:rPr>
          <w:rStyle w:val="Hyperlinkki"/>
          <w:color w:val="auto"/>
          <w:sz w:val="20"/>
          <w:szCs w:val="20"/>
          <w:u w:val="none"/>
        </w:rPr>
      </w:pPr>
      <w:proofErr w:type="spellStart"/>
      <w:r w:rsidRPr="00D707D0">
        <w:rPr>
          <w:sz w:val="20"/>
          <w:szCs w:val="20"/>
        </w:rPr>
        <w:t>Janusinfo</w:t>
      </w:r>
      <w:proofErr w:type="spellEnd"/>
      <w:r w:rsidRPr="00D707D0">
        <w:rPr>
          <w:sz w:val="20"/>
          <w:szCs w:val="20"/>
        </w:rPr>
        <w:t xml:space="preserve">. </w:t>
      </w:r>
      <w:proofErr w:type="spellStart"/>
      <w:r w:rsidRPr="00D707D0">
        <w:rPr>
          <w:sz w:val="20"/>
          <w:szCs w:val="20"/>
        </w:rPr>
        <w:t>Tisagenlecleucel</w:t>
      </w:r>
      <w:proofErr w:type="spellEnd"/>
      <w:r w:rsidRPr="00D707D0">
        <w:rPr>
          <w:sz w:val="20"/>
          <w:szCs w:val="20"/>
        </w:rPr>
        <w:t xml:space="preserve"> (</w:t>
      </w:r>
      <w:proofErr w:type="spellStart"/>
      <w:r w:rsidRPr="00D707D0">
        <w:rPr>
          <w:sz w:val="20"/>
          <w:szCs w:val="20"/>
        </w:rPr>
        <w:t>Kymriah</w:t>
      </w:r>
      <w:proofErr w:type="spellEnd"/>
      <w:r w:rsidRPr="00D707D0">
        <w:rPr>
          <w:sz w:val="20"/>
          <w:szCs w:val="20"/>
        </w:rPr>
        <w:t xml:space="preserve">) [siteerattu </w:t>
      </w:r>
      <w:r w:rsidR="0070438C" w:rsidRPr="00D707D0">
        <w:rPr>
          <w:sz w:val="20"/>
          <w:szCs w:val="20"/>
        </w:rPr>
        <w:t>14.1.2019</w:t>
      </w:r>
      <w:r w:rsidRPr="00D707D0">
        <w:rPr>
          <w:sz w:val="20"/>
          <w:szCs w:val="20"/>
        </w:rPr>
        <w:t xml:space="preserve">]. </w:t>
      </w:r>
      <w:hyperlink r:id="rId24" w:history="1">
        <w:r w:rsidRPr="00D707D0">
          <w:rPr>
            <w:rStyle w:val="Hyperlinkki"/>
            <w:sz w:val="20"/>
            <w:szCs w:val="20"/>
          </w:rPr>
          <w:t>http://www.janusinfo.se/Nationellt-inforande-av-nya-lakemedel/Nationellt-inforande-av-nya-lakemedel/Beslut-om-nationell-samverkan/Lakemedel-som-omfattas-av-nationell-samverkan/</w:t>
        </w:r>
      </w:hyperlink>
    </w:p>
    <w:p w14:paraId="7F9AEAE3" w14:textId="44DC5BC9" w:rsidR="003B22E8" w:rsidRPr="002D3855" w:rsidRDefault="003B22E8" w:rsidP="003B22E8">
      <w:pPr>
        <w:pStyle w:val="LhteetLeipteksti"/>
        <w:rPr>
          <w:rStyle w:val="Hyperlinkki"/>
          <w:sz w:val="20"/>
          <w:szCs w:val="20"/>
          <w:lang w:val="sv-SE"/>
        </w:rPr>
      </w:pPr>
      <w:r w:rsidRPr="00D707D0">
        <w:rPr>
          <w:sz w:val="20"/>
          <w:szCs w:val="20"/>
          <w:lang w:val="sv-SE"/>
        </w:rPr>
        <w:t xml:space="preserve">Medicinrådet. </w:t>
      </w:r>
      <w:proofErr w:type="spellStart"/>
      <w:r w:rsidRPr="002D3855">
        <w:rPr>
          <w:sz w:val="20"/>
          <w:szCs w:val="20"/>
          <w:lang w:val="sv-SE"/>
        </w:rPr>
        <w:t>Tisagenlecleucel</w:t>
      </w:r>
      <w:proofErr w:type="spellEnd"/>
      <w:r w:rsidRPr="002D3855">
        <w:rPr>
          <w:sz w:val="20"/>
          <w:szCs w:val="20"/>
          <w:lang w:val="sv-SE"/>
        </w:rPr>
        <w:t xml:space="preserve"> (</w:t>
      </w:r>
      <w:proofErr w:type="spellStart"/>
      <w:r w:rsidRPr="002D3855">
        <w:rPr>
          <w:sz w:val="20"/>
          <w:szCs w:val="20"/>
          <w:lang w:val="sv-SE"/>
        </w:rPr>
        <w:t>Kymriah</w:t>
      </w:r>
      <w:proofErr w:type="spellEnd"/>
      <w:r w:rsidRPr="002D3855">
        <w:rPr>
          <w:sz w:val="20"/>
          <w:szCs w:val="20"/>
          <w:lang w:val="sv-SE"/>
        </w:rPr>
        <w:t>) [</w:t>
      </w:r>
      <w:proofErr w:type="spellStart"/>
      <w:r w:rsidRPr="002D3855">
        <w:rPr>
          <w:sz w:val="20"/>
          <w:szCs w:val="20"/>
          <w:lang w:val="sv-SE"/>
        </w:rPr>
        <w:t>siteerattu</w:t>
      </w:r>
      <w:proofErr w:type="spellEnd"/>
      <w:r w:rsidRPr="002D3855">
        <w:rPr>
          <w:sz w:val="20"/>
          <w:szCs w:val="20"/>
          <w:lang w:val="sv-SE"/>
        </w:rPr>
        <w:t xml:space="preserve"> </w:t>
      </w:r>
      <w:r w:rsidR="00540058" w:rsidRPr="002D3855">
        <w:rPr>
          <w:sz w:val="20"/>
          <w:szCs w:val="20"/>
          <w:lang w:val="sv-SE"/>
        </w:rPr>
        <w:t>1</w:t>
      </w:r>
      <w:r w:rsidR="009D1D79">
        <w:rPr>
          <w:sz w:val="20"/>
          <w:szCs w:val="20"/>
          <w:lang w:val="sv-SE"/>
        </w:rPr>
        <w:t>1</w:t>
      </w:r>
      <w:r w:rsidR="00540058" w:rsidRPr="002D3855">
        <w:rPr>
          <w:sz w:val="20"/>
          <w:szCs w:val="20"/>
          <w:lang w:val="sv-SE"/>
        </w:rPr>
        <w:t>.</w:t>
      </w:r>
      <w:r w:rsidR="009D1D79">
        <w:rPr>
          <w:sz w:val="20"/>
          <w:szCs w:val="20"/>
          <w:lang w:val="sv-SE"/>
        </w:rPr>
        <w:t>2</w:t>
      </w:r>
      <w:r w:rsidR="00540058" w:rsidRPr="002D3855">
        <w:rPr>
          <w:sz w:val="20"/>
          <w:szCs w:val="20"/>
          <w:lang w:val="sv-SE"/>
        </w:rPr>
        <w:t>.2019</w:t>
      </w:r>
      <w:r w:rsidRPr="002D3855">
        <w:rPr>
          <w:sz w:val="20"/>
          <w:szCs w:val="20"/>
          <w:lang w:val="sv-SE"/>
        </w:rPr>
        <w:t>].</w:t>
      </w:r>
      <w:r w:rsidR="009D1D79" w:rsidRPr="009D1D79">
        <w:rPr>
          <w:lang w:val="sv-SE"/>
        </w:rPr>
        <w:t xml:space="preserve"> </w:t>
      </w:r>
      <w:hyperlink r:id="rId25" w:history="1">
        <w:r w:rsidR="009D1D79" w:rsidRPr="001F5E56">
          <w:rPr>
            <w:rStyle w:val="Hyperlinkki"/>
            <w:sz w:val="20"/>
            <w:szCs w:val="20"/>
            <w:lang w:val="sv-SE"/>
          </w:rPr>
          <w:t>https://medicinraadet.dk/media/10699/medicinraadets-anbefaling-af-tisagenlecleucel-til-all-vers-10.pdf</w:t>
        </w:r>
      </w:hyperlink>
      <w:r w:rsidR="009D1D79">
        <w:rPr>
          <w:rStyle w:val="Hyperlinkki"/>
          <w:sz w:val="20"/>
          <w:szCs w:val="20"/>
          <w:lang w:val="sv-SE"/>
        </w:rPr>
        <w:t xml:space="preserve"> </w:t>
      </w:r>
    </w:p>
    <w:p w14:paraId="2EF4E8A9" w14:textId="77777777" w:rsidR="003B22E8" w:rsidRPr="00D707D0" w:rsidRDefault="003B22E8" w:rsidP="003B22E8">
      <w:pPr>
        <w:pStyle w:val="LhteetLeipteksti"/>
        <w:rPr>
          <w:rStyle w:val="Hyperlinkki"/>
          <w:sz w:val="20"/>
          <w:szCs w:val="20"/>
        </w:rPr>
      </w:pPr>
      <w:r w:rsidRPr="00D707D0">
        <w:rPr>
          <w:sz w:val="20"/>
          <w:szCs w:val="20"/>
          <w:lang w:val="en-US"/>
        </w:rPr>
        <w:t xml:space="preserve">National Institute for Health and Care of Excellence (NICE). </w:t>
      </w:r>
      <w:proofErr w:type="spellStart"/>
      <w:r w:rsidRPr="00D707D0">
        <w:rPr>
          <w:sz w:val="20"/>
          <w:szCs w:val="20"/>
          <w:lang w:val="en-US"/>
        </w:rPr>
        <w:t>Tisagenlecleucel</w:t>
      </w:r>
      <w:proofErr w:type="spellEnd"/>
      <w:r w:rsidRPr="00D707D0">
        <w:rPr>
          <w:sz w:val="20"/>
          <w:szCs w:val="20"/>
          <w:lang w:val="en-US"/>
        </w:rPr>
        <w:t xml:space="preserve">-T for treating relapsed or refractory B-cell acute lymphoblastic </w:t>
      </w:r>
      <w:proofErr w:type="spellStart"/>
      <w:r w:rsidRPr="00D707D0">
        <w:rPr>
          <w:sz w:val="20"/>
          <w:szCs w:val="20"/>
          <w:lang w:val="en-US"/>
        </w:rPr>
        <w:t>leukaemia</w:t>
      </w:r>
      <w:proofErr w:type="spellEnd"/>
      <w:r w:rsidRPr="00D707D0">
        <w:rPr>
          <w:sz w:val="20"/>
          <w:szCs w:val="20"/>
          <w:lang w:val="en-US"/>
        </w:rPr>
        <w:t xml:space="preserve"> in people aged 3 to 25 years [ID1167] [</w:t>
      </w:r>
      <w:proofErr w:type="spellStart"/>
      <w:r w:rsidRPr="00D707D0">
        <w:rPr>
          <w:sz w:val="20"/>
          <w:szCs w:val="20"/>
          <w:lang w:val="en-US"/>
        </w:rPr>
        <w:t>siteerattu</w:t>
      </w:r>
      <w:proofErr w:type="spellEnd"/>
      <w:r w:rsidRPr="00D707D0">
        <w:rPr>
          <w:sz w:val="20"/>
          <w:szCs w:val="20"/>
          <w:lang w:val="en-US"/>
        </w:rPr>
        <w:t xml:space="preserve">: 7.11.2018]. </w:t>
      </w:r>
      <w:hyperlink r:id="rId26" w:history="1">
        <w:r w:rsidRPr="00D707D0">
          <w:rPr>
            <w:rStyle w:val="Hyperlinkki"/>
            <w:sz w:val="20"/>
            <w:szCs w:val="20"/>
          </w:rPr>
          <w:t>https://www.nice.org.uk/guidance/indevelopment/gid-ta10270</w:t>
        </w:r>
      </w:hyperlink>
    </w:p>
    <w:p w14:paraId="78796BE1" w14:textId="6831C97A" w:rsidR="00D707D0" w:rsidRPr="00BA0CCF" w:rsidRDefault="00776576" w:rsidP="00776576">
      <w:pPr>
        <w:pStyle w:val="LhteetLeipteksti"/>
        <w:rPr>
          <w:sz w:val="20"/>
          <w:szCs w:val="20"/>
          <w:lang w:val="sv-SE"/>
        </w:rPr>
      </w:pPr>
      <w:r w:rsidRPr="002D3855">
        <w:rPr>
          <w:sz w:val="20"/>
          <w:szCs w:val="20"/>
        </w:rPr>
        <w:t xml:space="preserve">NCPE [siteerattu </w:t>
      </w:r>
      <w:r w:rsidR="00AB6249" w:rsidRPr="002D3855">
        <w:rPr>
          <w:sz w:val="20"/>
          <w:szCs w:val="20"/>
        </w:rPr>
        <w:t>14.1.2019</w:t>
      </w:r>
      <w:r w:rsidRPr="002D3855">
        <w:rPr>
          <w:sz w:val="20"/>
          <w:szCs w:val="20"/>
        </w:rPr>
        <w:t xml:space="preserve">]. </w:t>
      </w:r>
      <w:hyperlink r:id="rId27" w:history="1">
        <w:r w:rsidRPr="002D3855">
          <w:rPr>
            <w:sz w:val="22"/>
            <w:lang w:val="sv-SE"/>
          </w:rPr>
          <w:t>http://www.ncpe.ie/category/drugs/t/page/2/</w:t>
        </w:r>
      </w:hyperlink>
      <w:r w:rsidR="00D707D0" w:rsidRPr="002D3855">
        <w:rPr>
          <w:lang w:val="sv-SE"/>
        </w:rPr>
        <w:t xml:space="preserve"> </w:t>
      </w:r>
    </w:p>
    <w:p w14:paraId="1D65B54D" w14:textId="04D67B4A" w:rsidR="003B22E8" w:rsidRPr="00D707D0" w:rsidRDefault="003B22E8" w:rsidP="00776576">
      <w:pPr>
        <w:pStyle w:val="LhteetLeipteksti"/>
        <w:rPr>
          <w:sz w:val="20"/>
          <w:szCs w:val="20"/>
        </w:rPr>
      </w:pPr>
      <w:r w:rsidRPr="00D707D0">
        <w:rPr>
          <w:sz w:val="20"/>
          <w:szCs w:val="20"/>
          <w:lang w:val="sv-SE"/>
        </w:rPr>
        <w:t xml:space="preserve">Nye Metoder. </w:t>
      </w:r>
      <w:proofErr w:type="spellStart"/>
      <w:r w:rsidRPr="00BA0CCF">
        <w:rPr>
          <w:sz w:val="20"/>
          <w:szCs w:val="20"/>
        </w:rPr>
        <w:t>Tisagenlecleucel</w:t>
      </w:r>
      <w:proofErr w:type="spellEnd"/>
      <w:r w:rsidRPr="00BA0CCF">
        <w:rPr>
          <w:sz w:val="20"/>
          <w:szCs w:val="20"/>
        </w:rPr>
        <w:t xml:space="preserve"> (</w:t>
      </w:r>
      <w:proofErr w:type="spellStart"/>
      <w:r w:rsidRPr="00BA0CCF">
        <w:rPr>
          <w:sz w:val="20"/>
          <w:szCs w:val="20"/>
        </w:rPr>
        <w:t>Kymriah</w:t>
      </w:r>
      <w:proofErr w:type="spellEnd"/>
      <w:r w:rsidRPr="00BA0CCF">
        <w:rPr>
          <w:sz w:val="20"/>
          <w:szCs w:val="20"/>
        </w:rPr>
        <w:t xml:space="preserve">) [siteerattu </w:t>
      </w:r>
      <w:r w:rsidR="00AB6249" w:rsidRPr="00BA0CCF">
        <w:rPr>
          <w:sz w:val="20"/>
          <w:szCs w:val="20"/>
        </w:rPr>
        <w:t>14.1.2019</w:t>
      </w:r>
      <w:r w:rsidRPr="00BA0CCF">
        <w:rPr>
          <w:sz w:val="20"/>
          <w:szCs w:val="20"/>
        </w:rPr>
        <w:t xml:space="preserve">]. </w:t>
      </w:r>
      <w:hyperlink r:id="rId28" w:history="1">
        <w:r w:rsidRPr="00D707D0">
          <w:rPr>
            <w:rStyle w:val="Hyperlinkki"/>
            <w:sz w:val="20"/>
            <w:szCs w:val="20"/>
          </w:rPr>
          <w:t>https://nyemetoder.no/metoder/tisagenlecleucel-kymriah</w:t>
        </w:r>
      </w:hyperlink>
    </w:p>
    <w:p w14:paraId="17E20383" w14:textId="58BF85F3" w:rsidR="004F671B" w:rsidRPr="00D707D0" w:rsidRDefault="00776576" w:rsidP="00776576">
      <w:pPr>
        <w:pStyle w:val="LhteetLeipteksti"/>
        <w:rPr>
          <w:rStyle w:val="Hyperlinkki"/>
          <w:sz w:val="20"/>
          <w:szCs w:val="20"/>
        </w:rPr>
      </w:pPr>
      <w:r w:rsidRPr="00D707D0">
        <w:rPr>
          <w:sz w:val="20"/>
          <w:szCs w:val="20"/>
        </w:rPr>
        <w:t xml:space="preserve">HAS [siteerattu </w:t>
      </w:r>
      <w:r w:rsidR="00680EB2" w:rsidRPr="00D707D0">
        <w:rPr>
          <w:sz w:val="20"/>
          <w:szCs w:val="20"/>
        </w:rPr>
        <w:t>14.1.2019</w:t>
      </w:r>
      <w:r w:rsidRPr="00D707D0">
        <w:rPr>
          <w:sz w:val="20"/>
          <w:szCs w:val="20"/>
        </w:rPr>
        <w:t xml:space="preserve">.2018]. </w:t>
      </w:r>
      <w:hyperlink r:id="rId29" w:history="1">
        <w:r w:rsidRPr="00D707D0">
          <w:rPr>
            <w:rStyle w:val="Hyperlinkki"/>
            <w:sz w:val="20"/>
            <w:szCs w:val="20"/>
          </w:rPr>
          <w:t>https://www.has-sante.fr/portail/jcms/c_39085/en/recherche?portlet=c_39085&amp;opSearch=&amp;lang=en&amp;portal=c_2566858&amp;FACET_TYPE=opinions%2Fgenerated.AVISMedicament</w:t>
        </w:r>
      </w:hyperlink>
    </w:p>
    <w:p w14:paraId="6F0D64BC" w14:textId="1441CE77" w:rsidR="00D707D0" w:rsidRPr="00D707D0" w:rsidRDefault="004F671B" w:rsidP="00776576">
      <w:pPr>
        <w:pStyle w:val="LhteetLeipteksti"/>
        <w:rPr>
          <w:sz w:val="20"/>
          <w:szCs w:val="20"/>
          <w:lang w:val="sv-SE"/>
        </w:rPr>
      </w:pPr>
      <w:r w:rsidRPr="00D707D0">
        <w:rPr>
          <w:sz w:val="20"/>
          <w:szCs w:val="20"/>
        </w:rPr>
        <w:t xml:space="preserve">Rannanheimo P, Heiskanen J, Kiviniemi V. Rannanheimo P, Heiskanen J, Kiviniemi V. </w:t>
      </w:r>
      <w:proofErr w:type="spellStart"/>
      <w:r w:rsidRPr="00D707D0">
        <w:rPr>
          <w:sz w:val="20"/>
          <w:szCs w:val="20"/>
        </w:rPr>
        <w:t>Tisagenlekleuseeli</w:t>
      </w:r>
      <w:proofErr w:type="spellEnd"/>
      <w:r w:rsidRPr="00D707D0">
        <w:rPr>
          <w:sz w:val="20"/>
          <w:szCs w:val="20"/>
        </w:rPr>
        <w:t xml:space="preserve"> (</w:t>
      </w:r>
      <w:proofErr w:type="spellStart"/>
      <w:r w:rsidRPr="00D707D0">
        <w:rPr>
          <w:sz w:val="20"/>
          <w:szCs w:val="20"/>
        </w:rPr>
        <w:t>Kymriah</w:t>
      </w:r>
      <w:proofErr w:type="spellEnd"/>
      <w:r w:rsidRPr="00D707D0">
        <w:rPr>
          <w:sz w:val="20"/>
          <w:szCs w:val="20"/>
        </w:rPr>
        <w:t xml:space="preserve">) B-solulinjan akuutin </w:t>
      </w:r>
      <w:proofErr w:type="spellStart"/>
      <w:r w:rsidRPr="00D707D0">
        <w:rPr>
          <w:sz w:val="20"/>
          <w:szCs w:val="20"/>
        </w:rPr>
        <w:t>lymfoblastisen</w:t>
      </w:r>
      <w:proofErr w:type="spellEnd"/>
      <w:r w:rsidRPr="00D707D0">
        <w:rPr>
          <w:sz w:val="20"/>
          <w:szCs w:val="20"/>
        </w:rPr>
        <w:t xml:space="preserve"> leukemian hoidossa. Lääkealan </w:t>
      </w:r>
      <w:proofErr w:type="spellStart"/>
      <w:r w:rsidRPr="00D707D0">
        <w:rPr>
          <w:sz w:val="20"/>
          <w:szCs w:val="20"/>
        </w:rPr>
        <w:t>turvalli-suus</w:t>
      </w:r>
      <w:proofErr w:type="spellEnd"/>
      <w:r w:rsidRPr="00D707D0">
        <w:rPr>
          <w:sz w:val="20"/>
          <w:szCs w:val="20"/>
        </w:rPr>
        <w:t xml:space="preserve">- ja kehittämiskeskus </w:t>
      </w:r>
      <w:proofErr w:type="spellStart"/>
      <w:r w:rsidRPr="00D707D0">
        <w:rPr>
          <w:sz w:val="20"/>
          <w:szCs w:val="20"/>
        </w:rPr>
        <w:t>Fimea</w:t>
      </w:r>
      <w:proofErr w:type="spellEnd"/>
      <w:r w:rsidRPr="00D707D0">
        <w:rPr>
          <w:sz w:val="20"/>
          <w:szCs w:val="20"/>
        </w:rPr>
        <w:t xml:space="preserve">. </w:t>
      </w:r>
      <w:proofErr w:type="spellStart"/>
      <w:r w:rsidRPr="00D707D0">
        <w:rPr>
          <w:sz w:val="20"/>
          <w:szCs w:val="20"/>
        </w:rPr>
        <w:t>Fimea</w:t>
      </w:r>
      <w:proofErr w:type="spellEnd"/>
      <w:r w:rsidRPr="00D707D0">
        <w:rPr>
          <w:sz w:val="20"/>
          <w:szCs w:val="20"/>
        </w:rPr>
        <w:t xml:space="preserve"> kehittää, arvioi ja informoi -julkaisusarja 15/2018. </w:t>
      </w:r>
      <w:r w:rsidRPr="00D707D0">
        <w:rPr>
          <w:sz w:val="20"/>
          <w:szCs w:val="20"/>
          <w:lang w:val="sv-SE"/>
        </w:rPr>
        <w:t>65 s. ISBN 978-952-5624-95-3.</w:t>
      </w:r>
      <w:r w:rsidR="00D707D0" w:rsidRPr="00D707D0">
        <w:rPr>
          <w:lang w:val="sv-SE"/>
        </w:rPr>
        <w:t xml:space="preserve"> </w:t>
      </w:r>
      <w:r w:rsidR="00D707D0" w:rsidRPr="00D707D0">
        <w:rPr>
          <w:sz w:val="20"/>
          <w:szCs w:val="20"/>
          <w:lang w:val="sv-SE"/>
        </w:rPr>
        <w:t>https://www.fimea.fi/documents/160140/1454401/Tisagenlekleuseeli/f26b43d3-8b2e-8ef8-db35-299896fe7700</w:t>
      </w:r>
    </w:p>
    <w:p w14:paraId="298C420B" w14:textId="25DD3668" w:rsidR="00077514" w:rsidRPr="00077514" w:rsidRDefault="00776576" w:rsidP="00E93484">
      <w:pPr>
        <w:pStyle w:val="LhteetLeipteksti"/>
        <w:rPr>
          <w:rFonts w:eastAsia="MS PGothic"/>
          <w:sz w:val="32"/>
        </w:rPr>
      </w:pPr>
      <w:r w:rsidRPr="00D707D0">
        <w:rPr>
          <w:sz w:val="20"/>
          <w:szCs w:val="20"/>
        </w:rPr>
        <w:lastRenderedPageBreak/>
        <w:t xml:space="preserve">SMC [siteerattu </w:t>
      </w:r>
      <w:r w:rsidR="00540058" w:rsidRPr="00D707D0">
        <w:rPr>
          <w:sz w:val="20"/>
          <w:szCs w:val="20"/>
        </w:rPr>
        <w:t>1</w:t>
      </w:r>
      <w:r w:rsidR="00E93484">
        <w:rPr>
          <w:sz w:val="20"/>
          <w:szCs w:val="20"/>
        </w:rPr>
        <w:t>1</w:t>
      </w:r>
      <w:r w:rsidR="00540058" w:rsidRPr="00D707D0">
        <w:rPr>
          <w:sz w:val="20"/>
          <w:szCs w:val="20"/>
        </w:rPr>
        <w:t>.</w:t>
      </w:r>
      <w:r w:rsidR="00E93484">
        <w:rPr>
          <w:sz w:val="20"/>
          <w:szCs w:val="20"/>
        </w:rPr>
        <w:t>2.</w:t>
      </w:r>
      <w:r w:rsidR="00540058" w:rsidRPr="00D707D0">
        <w:rPr>
          <w:sz w:val="20"/>
          <w:szCs w:val="20"/>
        </w:rPr>
        <w:t>2019</w:t>
      </w:r>
      <w:r w:rsidRPr="00D707D0">
        <w:rPr>
          <w:sz w:val="20"/>
          <w:szCs w:val="20"/>
        </w:rPr>
        <w:t xml:space="preserve">]. </w:t>
      </w:r>
      <w:r w:rsidR="00E93484" w:rsidRPr="00E93484">
        <w:rPr>
          <w:rStyle w:val="Hyperlinkki"/>
          <w:sz w:val="20"/>
          <w:szCs w:val="20"/>
        </w:rPr>
        <w:t>https://www.scottishmedicines.org.uk/medicines-advice/tisagenlecleucel-kymriah-fullsubmission-smc2129/</w:t>
      </w:r>
      <w:r w:rsidR="00E93484" w:rsidRPr="00E93484" w:rsidDel="00E93484">
        <w:rPr>
          <w:rStyle w:val="Hyperlinkki"/>
          <w:sz w:val="20"/>
          <w:szCs w:val="20"/>
        </w:rPr>
        <w:t xml:space="preserve"> </w:t>
      </w:r>
    </w:p>
    <w:sectPr w:rsidR="00077514" w:rsidRPr="00077514" w:rsidSect="00122E73">
      <w:headerReference w:type="default" r:id="rId30"/>
      <w:pgSz w:w="11906" w:h="16838"/>
      <w:pgMar w:top="1417" w:right="1134" w:bottom="1417"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C9907" w14:textId="77777777" w:rsidR="00C94EE9" w:rsidRDefault="00C94EE9" w:rsidP="00051211">
      <w:r>
        <w:separator/>
      </w:r>
    </w:p>
  </w:endnote>
  <w:endnote w:type="continuationSeparator" w:id="0">
    <w:p w14:paraId="48C55161" w14:textId="77777777" w:rsidR="00C94EE9" w:rsidRDefault="00C94EE9" w:rsidP="00051211">
      <w:r>
        <w:continuationSeparator/>
      </w:r>
    </w:p>
  </w:endnote>
  <w:endnote w:type="continuationNotice" w:id="1">
    <w:p w14:paraId="463D009B" w14:textId="77777777" w:rsidR="00C94EE9" w:rsidRDefault="00C94E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7510D" w14:textId="77777777" w:rsidR="00C84EDD" w:rsidRDefault="00C84EDD">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0B685" w14:textId="77777777" w:rsidR="00C84EDD" w:rsidRDefault="00C84EDD">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5B2F0" w14:textId="77777777" w:rsidR="00C84EDD" w:rsidRDefault="00C84ED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DBB64" w14:textId="77777777" w:rsidR="00C94EE9" w:rsidRDefault="00C94EE9" w:rsidP="00051211">
      <w:r>
        <w:separator/>
      </w:r>
    </w:p>
  </w:footnote>
  <w:footnote w:type="continuationSeparator" w:id="0">
    <w:p w14:paraId="4FA2D851" w14:textId="77777777" w:rsidR="00C94EE9" w:rsidRDefault="00C94EE9" w:rsidP="00051211">
      <w:r>
        <w:continuationSeparator/>
      </w:r>
    </w:p>
  </w:footnote>
  <w:footnote w:type="continuationNotice" w:id="1">
    <w:p w14:paraId="13E0E2CA" w14:textId="77777777" w:rsidR="00C94EE9" w:rsidRDefault="00C94EE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AB01A" w14:textId="77777777" w:rsidR="00C84EDD" w:rsidRDefault="00C84EDD">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53" w:type="dxa"/>
      <w:tblLayout w:type="fixed"/>
      <w:tblCellMar>
        <w:left w:w="0" w:type="dxa"/>
        <w:right w:w="0" w:type="dxa"/>
      </w:tblCellMar>
      <w:tblLook w:val="0000" w:firstRow="0" w:lastRow="0" w:firstColumn="0" w:lastColumn="0" w:noHBand="0" w:noVBand="0"/>
    </w:tblPr>
    <w:tblGrid>
      <w:gridCol w:w="4395"/>
      <w:gridCol w:w="3260"/>
      <w:gridCol w:w="1701"/>
      <w:gridCol w:w="997"/>
    </w:tblGrid>
    <w:tr w:rsidR="00F27F8D" w14:paraId="7EE1B65E" w14:textId="77777777" w:rsidTr="009F1FD1">
      <w:trPr>
        <w:cantSplit/>
      </w:trPr>
      <w:tc>
        <w:tcPr>
          <w:tcW w:w="4395" w:type="dxa"/>
          <w:vMerge w:val="restart"/>
        </w:tcPr>
        <w:p w14:paraId="7EE1B65A" w14:textId="77777777" w:rsidR="00F27F8D" w:rsidRDefault="00F27F8D" w:rsidP="00B5381E">
          <w:pPr>
            <w:pStyle w:val="STMnormaali"/>
          </w:pPr>
          <w:r>
            <w:rPr>
              <w:noProof/>
              <w:lang w:eastAsia="fi-FI"/>
            </w:rPr>
            <w:drawing>
              <wp:anchor distT="0" distB="0" distL="114300" distR="114300" simplePos="0" relativeHeight="251659264" behindDoc="0" locked="0" layoutInCell="1" allowOverlap="1" wp14:anchorId="7EE1B686" wp14:editId="7EE1B687">
                <wp:simplePos x="0" y="0"/>
                <wp:positionH relativeFrom="column">
                  <wp:posOffset>-215265</wp:posOffset>
                </wp:positionH>
                <wp:positionV relativeFrom="paragraph">
                  <wp:posOffset>-44013</wp:posOffset>
                </wp:positionV>
                <wp:extent cx="2146935" cy="601980"/>
                <wp:effectExtent l="0" t="0" r="5715" b="7620"/>
                <wp:wrapNone/>
                <wp:docPr id="23" name="Kuv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6935" cy="6019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60" w:type="dxa"/>
          <w:tcMar>
            <w:right w:w="284" w:type="dxa"/>
          </w:tcMar>
        </w:tcPr>
        <w:p w14:paraId="7EE1B65B" w14:textId="77777777" w:rsidR="00F27F8D" w:rsidRDefault="00F27F8D" w:rsidP="00B5381E">
          <w:pPr>
            <w:pStyle w:val="STMnormaali"/>
          </w:pPr>
        </w:p>
      </w:tc>
      <w:tc>
        <w:tcPr>
          <w:tcW w:w="1701" w:type="dxa"/>
        </w:tcPr>
        <w:p w14:paraId="7EE1B65C" w14:textId="77777777" w:rsidR="00F27F8D" w:rsidRDefault="00F27F8D" w:rsidP="00B5381E">
          <w:pPr>
            <w:pStyle w:val="STMnormaali"/>
          </w:pPr>
        </w:p>
      </w:tc>
      <w:tc>
        <w:tcPr>
          <w:tcW w:w="997" w:type="dxa"/>
        </w:tcPr>
        <w:p w14:paraId="7EE1B65D" w14:textId="77777777" w:rsidR="00F27F8D" w:rsidRDefault="00F27F8D" w:rsidP="00E317AD">
          <w:pPr>
            <w:pStyle w:val="STMnormaali"/>
            <w:rPr>
              <w:rStyle w:val="Sivunumero"/>
              <w:lang w:eastAsia="fi-FI"/>
            </w:rPr>
          </w:pPr>
        </w:p>
      </w:tc>
    </w:tr>
    <w:tr w:rsidR="00F27F8D" w14:paraId="7EE1B663" w14:textId="77777777" w:rsidTr="009F1FD1">
      <w:trPr>
        <w:cantSplit/>
      </w:trPr>
      <w:tc>
        <w:tcPr>
          <w:tcW w:w="4395" w:type="dxa"/>
          <w:vMerge/>
        </w:tcPr>
        <w:p w14:paraId="7EE1B65F" w14:textId="77777777" w:rsidR="00F27F8D" w:rsidRDefault="00F27F8D" w:rsidP="00B5381E">
          <w:pPr>
            <w:pStyle w:val="STMnormaali"/>
            <w:rPr>
              <w:rStyle w:val="Sivunumero"/>
              <w:lang w:eastAsia="fi-FI"/>
            </w:rPr>
          </w:pPr>
        </w:p>
      </w:tc>
      <w:tc>
        <w:tcPr>
          <w:tcW w:w="3260" w:type="dxa"/>
          <w:tcMar>
            <w:right w:w="284" w:type="dxa"/>
          </w:tcMar>
        </w:tcPr>
        <w:p w14:paraId="7EE1B660" w14:textId="040C3F56" w:rsidR="00F27F8D" w:rsidRDefault="00F27F8D" w:rsidP="00515DA2">
          <w:pPr>
            <w:pStyle w:val="STMnormaali"/>
            <w:rPr>
              <w:rStyle w:val="Sivunumero"/>
              <w:lang w:eastAsia="fi-FI"/>
            </w:rPr>
          </w:pPr>
        </w:p>
      </w:tc>
      <w:tc>
        <w:tcPr>
          <w:tcW w:w="1701" w:type="dxa"/>
        </w:tcPr>
        <w:p w14:paraId="7EE1B661" w14:textId="77777777" w:rsidR="00F27F8D" w:rsidRDefault="00F27F8D" w:rsidP="00B5381E">
          <w:pPr>
            <w:pStyle w:val="STMnormaali"/>
            <w:rPr>
              <w:rStyle w:val="Sivunumero"/>
              <w:lang w:eastAsia="fi-FI"/>
            </w:rPr>
          </w:pPr>
        </w:p>
      </w:tc>
      <w:tc>
        <w:tcPr>
          <w:tcW w:w="997" w:type="dxa"/>
        </w:tcPr>
        <w:p w14:paraId="7EE1B662" w14:textId="77777777" w:rsidR="00F27F8D" w:rsidRDefault="00F27F8D" w:rsidP="00B5381E">
          <w:pPr>
            <w:pStyle w:val="STMnormaali"/>
            <w:rPr>
              <w:rStyle w:val="Sivunumero"/>
              <w:lang w:eastAsia="fi-FI"/>
            </w:rPr>
          </w:pPr>
        </w:p>
      </w:tc>
    </w:tr>
    <w:tr w:rsidR="00F27F8D" w14:paraId="7EE1B667" w14:textId="77777777" w:rsidTr="009F1FD1">
      <w:trPr>
        <w:cantSplit/>
      </w:trPr>
      <w:tc>
        <w:tcPr>
          <w:tcW w:w="4395" w:type="dxa"/>
        </w:tcPr>
        <w:p w14:paraId="7EE1B664" w14:textId="77777777" w:rsidR="00F27F8D" w:rsidRDefault="00F27F8D" w:rsidP="00B5381E">
          <w:pPr>
            <w:pStyle w:val="STMnormaali"/>
            <w:rPr>
              <w:rStyle w:val="Sivunumero"/>
              <w:lang w:eastAsia="fi-FI"/>
            </w:rPr>
          </w:pPr>
        </w:p>
      </w:tc>
      <w:tc>
        <w:tcPr>
          <w:tcW w:w="3260" w:type="dxa"/>
          <w:tcMar>
            <w:right w:w="284" w:type="dxa"/>
          </w:tcMar>
        </w:tcPr>
        <w:p w14:paraId="7EE1B665" w14:textId="77777777" w:rsidR="00F27F8D" w:rsidRDefault="00F27F8D" w:rsidP="00B5381E">
          <w:pPr>
            <w:pStyle w:val="STMnormaali"/>
            <w:rPr>
              <w:rStyle w:val="Sivunumero"/>
              <w:lang w:eastAsia="fi-FI"/>
            </w:rPr>
          </w:pPr>
        </w:p>
      </w:tc>
      <w:tc>
        <w:tcPr>
          <w:tcW w:w="2698" w:type="dxa"/>
          <w:gridSpan w:val="2"/>
        </w:tcPr>
        <w:p w14:paraId="7EE1B666" w14:textId="77777777" w:rsidR="00F27F8D" w:rsidRDefault="00F27F8D" w:rsidP="00311D90">
          <w:pPr>
            <w:pStyle w:val="STMnormaali"/>
            <w:rPr>
              <w:rStyle w:val="Sivunumero"/>
              <w:lang w:eastAsia="fi-FI"/>
            </w:rPr>
          </w:pPr>
        </w:p>
      </w:tc>
    </w:tr>
    <w:tr w:rsidR="00F27F8D" w14:paraId="7EE1B66D" w14:textId="77777777" w:rsidTr="009F1FD1">
      <w:tc>
        <w:tcPr>
          <w:tcW w:w="4395" w:type="dxa"/>
        </w:tcPr>
        <w:p w14:paraId="7EE1B668" w14:textId="77777777" w:rsidR="00F27F8D" w:rsidRDefault="00F27F8D" w:rsidP="00B5381E">
          <w:pPr>
            <w:pStyle w:val="STMnormaali"/>
            <w:rPr>
              <w:rStyle w:val="Sivunumero"/>
              <w:lang w:eastAsia="fi-FI"/>
            </w:rPr>
          </w:pPr>
        </w:p>
      </w:tc>
      <w:tc>
        <w:tcPr>
          <w:tcW w:w="3260" w:type="dxa"/>
          <w:tcMar>
            <w:right w:w="284" w:type="dxa"/>
          </w:tcMar>
        </w:tcPr>
        <w:p w14:paraId="7EE1B669" w14:textId="77777777" w:rsidR="00F27F8D" w:rsidRDefault="00F27F8D" w:rsidP="00B75071">
          <w:pPr>
            <w:pStyle w:val="STMnormaali"/>
            <w:rPr>
              <w:rStyle w:val="Sivunumero"/>
              <w:lang w:eastAsia="fi-FI"/>
            </w:rPr>
          </w:pPr>
        </w:p>
      </w:tc>
      <w:tc>
        <w:tcPr>
          <w:tcW w:w="1701" w:type="dxa"/>
        </w:tcPr>
        <w:p w14:paraId="7EE1B66A" w14:textId="77777777" w:rsidR="00F27F8D" w:rsidRPr="009B100F" w:rsidRDefault="00F27F8D" w:rsidP="009B100F">
          <w:pPr>
            <w:pStyle w:val="STMnormaali"/>
            <w:rPr>
              <w:rStyle w:val="Sivunumero"/>
              <w:lang w:eastAsia="fi-FI"/>
            </w:rPr>
          </w:pPr>
        </w:p>
        <w:p w14:paraId="7EE1B66B" w14:textId="03B2E954" w:rsidR="00F27F8D" w:rsidRDefault="00F27F8D" w:rsidP="00B5381E">
          <w:pPr>
            <w:pStyle w:val="STMnormaali"/>
            <w:rPr>
              <w:rStyle w:val="Sivunumero"/>
              <w:lang w:eastAsia="fi-FI"/>
            </w:rPr>
          </w:pPr>
        </w:p>
      </w:tc>
      <w:tc>
        <w:tcPr>
          <w:tcW w:w="997" w:type="dxa"/>
        </w:tcPr>
        <w:p w14:paraId="7EE1B66C" w14:textId="77777777" w:rsidR="00F27F8D" w:rsidRDefault="00F27F8D" w:rsidP="00B5381E">
          <w:pPr>
            <w:pStyle w:val="STMnormaali"/>
            <w:rPr>
              <w:rStyle w:val="Sivunumero"/>
              <w:lang w:eastAsia="fi-FI"/>
            </w:rPr>
          </w:pPr>
        </w:p>
      </w:tc>
    </w:tr>
  </w:tbl>
  <w:sdt>
    <w:sdtPr>
      <w:id w:val="662890633"/>
      <w:docPartObj>
        <w:docPartGallery w:val="Watermarks"/>
        <w:docPartUnique/>
      </w:docPartObj>
    </w:sdtPr>
    <w:sdtContent>
      <w:p w14:paraId="7EE1B66F" w14:textId="699CBB52" w:rsidR="00F27F8D" w:rsidRDefault="00C84EDD">
        <w:pPr>
          <w:pStyle w:val="Yltunniste"/>
        </w:pPr>
        <w:r>
          <w:pict w14:anchorId="7ABE48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LUONNOS"/>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83498" w14:textId="77777777" w:rsidR="00C84EDD" w:rsidRDefault="00C84EDD">
    <w:pPr>
      <w:pStyle w:val="Yltunnis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53" w:type="dxa"/>
      <w:tblLayout w:type="fixed"/>
      <w:tblCellMar>
        <w:left w:w="0" w:type="dxa"/>
        <w:right w:w="0" w:type="dxa"/>
      </w:tblCellMar>
      <w:tblLook w:val="0000" w:firstRow="0" w:lastRow="0" w:firstColumn="0" w:lastColumn="0" w:noHBand="0" w:noVBand="0"/>
    </w:tblPr>
    <w:tblGrid>
      <w:gridCol w:w="4255"/>
      <w:gridCol w:w="3400"/>
      <w:gridCol w:w="1701"/>
      <w:gridCol w:w="997"/>
    </w:tblGrid>
    <w:tr w:rsidR="00F27F8D" w14:paraId="7EE1B674" w14:textId="77777777" w:rsidTr="001630D8">
      <w:trPr>
        <w:cantSplit/>
      </w:trPr>
      <w:tc>
        <w:tcPr>
          <w:tcW w:w="4255" w:type="dxa"/>
          <w:vMerge w:val="restart"/>
        </w:tcPr>
        <w:p w14:paraId="7EE1B670" w14:textId="77777777" w:rsidR="00F27F8D" w:rsidRDefault="00F27F8D" w:rsidP="001630D8">
          <w:pPr>
            <w:pStyle w:val="STMnormaali"/>
          </w:pPr>
          <w:r>
            <w:rPr>
              <w:noProof/>
              <w:lang w:eastAsia="fi-FI"/>
            </w:rPr>
            <w:drawing>
              <wp:anchor distT="0" distB="0" distL="114300" distR="114300" simplePos="0" relativeHeight="251660288" behindDoc="0" locked="0" layoutInCell="1" allowOverlap="1" wp14:anchorId="7EE1B688" wp14:editId="7EE1B689">
                <wp:simplePos x="0" y="0"/>
                <wp:positionH relativeFrom="column">
                  <wp:posOffset>-215265</wp:posOffset>
                </wp:positionH>
                <wp:positionV relativeFrom="paragraph">
                  <wp:posOffset>-44013</wp:posOffset>
                </wp:positionV>
                <wp:extent cx="2146935" cy="601980"/>
                <wp:effectExtent l="0" t="0" r="5715" b="762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6935" cy="6019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00" w:type="dxa"/>
          <w:tcMar>
            <w:right w:w="284" w:type="dxa"/>
          </w:tcMar>
        </w:tcPr>
        <w:p w14:paraId="7EE1B671" w14:textId="77777777" w:rsidR="00F27F8D" w:rsidRDefault="00F27F8D" w:rsidP="001630D8">
          <w:pPr>
            <w:pStyle w:val="STMnormaali"/>
          </w:pPr>
        </w:p>
      </w:tc>
      <w:tc>
        <w:tcPr>
          <w:tcW w:w="1701" w:type="dxa"/>
        </w:tcPr>
        <w:p w14:paraId="7EE1B672" w14:textId="77777777" w:rsidR="00F27F8D" w:rsidRDefault="00F27F8D" w:rsidP="001630D8">
          <w:pPr>
            <w:pStyle w:val="STMnormaali"/>
          </w:pPr>
        </w:p>
      </w:tc>
      <w:tc>
        <w:tcPr>
          <w:tcW w:w="997" w:type="dxa"/>
        </w:tcPr>
        <w:p w14:paraId="7EE1B673" w14:textId="77777777" w:rsidR="00F27F8D" w:rsidRDefault="00F27F8D" w:rsidP="001630D8">
          <w:pPr>
            <w:pStyle w:val="STMnormaali"/>
            <w:rPr>
              <w:rStyle w:val="Sivunumero"/>
              <w:lang w:eastAsia="fi-FI"/>
            </w:rPr>
          </w:pPr>
        </w:p>
      </w:tc>
    </w:tr>
    <w:tr w:rsidR="00F27F8D" w14:paraId="7EE1B679" w14:textId="77777777" w:rsidTr="001630D8">
      <w:trPr>
        <w:cantSplit/>
      </w:trPr>
      <w:tc>
        <w:tcPr>
          <w:tcW w:w="4255" w:type="dxa"/>
          <w:vMerge/>
        </w:tcPr>
        <w:p w14:paraId="7EE1B675" w14:textId="77777777" w:rsidR="00F27F8D" w:rsidRDefault="00F27F8D" w:rsidP="001630D8">
          <w:pPr>
            <w:pStyle w:val="STMnormaali"/>
            <w:rPr>
              <w:rStyle w:val="Sivunumero"/>
              <w:lang w:eastAsia="fi-FI"/>
            </w:rPr>
          </w:pPr>
        </w:p>
      </w:tc>
      <w:tc>
        <w:tcPr>
          <w:tcW w:w="3400" w:type="dxa"/>
          <w:tcMar>
            <w:right w:w="284" w:type="dxa"/>
          </w:tcMar>
        </w:tcPr>
        <w:p w14:paraId="7EE1B676" w14:textId="77777777" w:rsidR="00F27F8D" w:rsidRDefault="00F27F8D" w:rsidP="001630D8">
          <w:pPr>
            <w:pStyle w:val="STMnormaali"/>
            <w:rPr>
              <w:rStyle w:val="Sivunumero"/>
              <w:lang w:eastAsia="fi-FI"/>
            </w:rPr>
          </w:pPr>
          <w:r>
            <w:rPr>
              <w:rStyle w:val="Sivunumero"/>
              <w:lang w:eastAsia="fi-FI"/>
            </w:rPr>
            <w:t xml:space="preserve">Taustamuistioluonnos </w:t>
          </w:r>
        </w:p>
      </w:tc>
      <w:tc>
        <w:tcPr>
          <w:tcW w:w="1701" w:type="dxa"/>
        </w:tcPr>
        <w:p w14:paraId="7EE1B677" w14:textId="77777777" w:rsidR="00F27F8D" w:rsidRDefault="00F27F8D" w:rsidP="001630D8">
          <w:pPr>
            <w:pStyle w:val="STMnormaali"/>
            <w:rPr>
              <w:rStyle w:val="Sivunumero"/>
              <w:lang w:eastAsia="fi-FI"/>
            </w:rPr>
          </w:pPr>
        </w:p>
      </w:tc>
      <w:tc>
        <w:tcPr>
          <w:tcW w:w="997" w:type="dxa"/>
        </w:tcPr>
        <w:p w14:paraId="7EE1B678" w14:textId="6E13C175" w:rsidR="00F27F8D" w:rsidRDefault="00F27F8D" w:rsidP="001630D8">
          <w:pPr>
            <w:pStyle w:val="STMnormaali"/>
            <w:rPr>
              <w:rStyle w:val="Sivunumero"/>
              <w:lang w:eastAsia="fi-FI"/>
            </w:rPr>
          </w:pPr>
          <w:r w:rsidRPr="00122E73">
            <w:rPr>
              <w:rStyle w:val="Sivunumero"/>
              <w:lang w:eastAsia="fi-FI"/>
            </w:rPr>
            <w:fldChar w:fldCharType="begin"/>
          </w:r>
          <w:r w:rsidRPr="00122E73">
            <w:rPr>
              <w:rStyle w:val="Sivunumero"/>
              <w:lang w:eastAsia="fi-FI"/>
            </w:rPr>
            <w:instrText>PAGE   \* MERGEFORMAT</w:instrText>
          </w:r>
          <w:r w:rsidRPr="00122E73">
            <w:rPr>
              <w:rStyle w:val="Sivunumero"/>
              <w:lang w:eastAsia="fi-FI"/>
            </w:rPr>
            <w:fldChar w:fldCharType="separate"/>
          </w:r>
          <w:r w:rsidR="00C84EDD">
            <w:rPr>
              <w:rStyle w:val="Sivunumero"/>
              <w:noProof/>
              <w:lang w:eastAsia="fi-FI"/>
            </w:rPr>
            <w:t>12</w:t>
          </w:r>
          <w:r w:rsidRPr="00122E73">
            <w:rPr>
              <w:rStyle w:val="Sivunumero"/>
              <w:lang w:eastAsia="fi-FI"/>
            </w:rPr>
            <w:fldChar w:fldCharType="end"/>
          </w:r>
          <w:r>
            <w:rPr>
              <w:rStyle w:val="Sivunumero"/>
              <w:lang w:eastAsia="fi-FI"/>
            </w:rPr>
            <w:t>(19)</w:t>
          </w:r>
        </w:p>
      </w:tc>
    </w:tr>
    <w:tr w:rsidR="00F27F8D" w14:paraId="7EE1B67D" w14:textId="77777777" w:rsidTr="001630D8">
      <w:trPr>
        <w:cantSplit/>
      </w:trPr>
      <w:tc>
        <w:tcPr>
          <w:tcW w:w="4255" w:type="dxa"/>
        </w:tcPr>
        <w:p w14:paraId="7EE1B67A" w14:textId="77777777" w:rsidR="00F27F8D" w:rsidRDefault="00F27F8D" w:rsidP="001630D8">
          <w:pPr>
            <w:pStyle w:val="STMnormaali"/>
            <w:rPr>
              <w:rStyle w:val="Sivunumero"/>
              <w:lang w:eastAsia="fi-FI"/>
            </w:rPr>
          </w:pPr>
        </w:p>
      </w:tc>
      <w:tc>
        <w:tcPr>
          <w:tcW w:w="3400" w:type="dxa"/>
          <w:tcMar>
            <w:right w:w="284" w:type="dxa"/>
          </w:tcMar>
        </w:tcPr>
        <w:p w14:paraId="7EE1B67B" w14:textId="77777777" w:rsidR="00F27F8D" w:rsidRDefault="00F27F8D" w:rsidP="001630D8">
          <w:pPr>
            <w:pStyle w:val="STMnormaali"/>
            <w:rPr>
              <w:rStyle w:val="Sivunumero"/>
              <w:lang w:eastAsia="fi-FI"/>
            </w:rPr>
          </w:pPr>
        </w:p>
      </w:tc>
      <w:tc>
        <w:tcPr>
          <w:tcW w:w="2698" w:type="dxa"/>
          <w:gridSpan w:val="2"/>
        </w:tcPr>
        <w:p w14:paraId="7EE1B67C" w14:textId="77777777" w:rsidR="00F27F8D" w:rsidRDefault="00F27F8D" w:rsidP="001630D8">
          <w:pPr>
            <w:pStyle w:val="STMnormaali"/>
            <w:rPr>
              <w:rStyle w:val="Sivunumero"/>
              <w:lang w:eastAsia="fi-FI"/>
            </w:rPr>
          </w:pPr>
        </w:p>
      </w:tc>
    </w:tr>
    <w:tr w:rsidR="00F27F8D" w14:paraId="7EE1B684" w14:textId="77777777" w:rsidTr="001630D8">
      <w:tc>
        <w:tcPr>
          <w:tcW w:w="4255" w:type="dxa"/>
        </w:tcPr>
        <w:p w14:paraId="7EE1B67E" w14:textId="77777777" w:rsidR="00F27F8D" w:rsidRDefault="00F27F8D" w:rsidP="001630D8">
          <w:pPr>
            <w:pStyle w:val="STMnormaali"/>
            <w:rPr>
              <w:rStyle w:val="Sivunumero"/>
              <w:lang w:eastAsia="fi-FI"/>
            </w:rPr>
          </w:pPr>
        </w:p>
      </w:tc>
      <w:tc>
        <w:tcPr>
          <w:tcW w:w="3400" w:type="dxa"/>
          <w:tcMar>
            <w:right w:w="284" w:type="dxa"/>
          </w:tcMar>
        </w:tcPr>
        <w:p w14:paraId="7EE1B67F" w14:textId="77777777" w:rsidR="00F27F8D" w:rsidRDefault="00F27F8D" w:rsidP="001630D8">
          <w:pPr>
            <w:pStyle w:val="STMnormaali"/>
            <w:rPr>
              <w:rStyle w:val="Sivunumero"/>
              <w:lang w:eastAsia="fi-FI"/>
            </w:rPr>
          </w:pPr>
        </w:p>
      </w:tc>
      <w:tc>
        <w:tcPr>
          <w:tcW w:w="1701" w:type="dxa"/>
        </w:tcPr>
        <w:p w14:paraId="7EE1B680" w14:textId="77777777" w:rsidR="00F27F8D" w:rsidRPr="009B100F" w:rsidRDefault="00F27F8D" w:rsidP="009B100F">
          <w:pPr>
            <w:pStyle w:val="STMnormaali"/>
            <w:rPr>
              <w:rStyle w:val="Sivunumero"/>
              <w:lang w:eastAsia="fi-FI"/>
            </w:rPr>
          </w:pPr>
        </w:p>
        <w:p w14:paraId="7EE1B681" w14:textId="77777777" w:rsidR="00F27F8D" w:rsidRPr="009B100F" w:rsidRDefault="00F27F8D" w:rsidP="009B100F">
          <w:pPr>
            <w:pStyle w:val="STMnormaali"/>
            <w:rPr>
              <w:rStyle w:val="Sivunumero"/>
              <w:lang w:eastAsia="fi-FI"/>
            </w:rPr>
          </w:pPr>
          <w:r w:rsidRPr="009B100F">
            <w:rPr>
              <w:rStyle w:val="Sivunumero"/>
              <w:lang w:eastAsia="fi-FI"/>
            </w:rPr>
            <w:t>STM038:00/2017</w:t>
          </w:r>
        </w:p>
        <w:p w14:paraId="7EE1B682" w14:textId="77777777" w:rsidR="00F27F8D" w:rsidRDefault="00F27F8D" w:rsidP="001630D8">
          <w:pPr>
            <w:pStyle w:val="STMnormaali"/>
            <w:rPr>
              <w:rStyle w:val="Sivunumero"/>
              <w:lang w:eastAsia="fi-FI"/>
            </w:rPr>
          </w:pPr>
        </w:p>
      </w:tc>
      <w:tc>
        <w:tcPr>
          <w:tcW w:w="997" w:type="dxa"/>
        </w:tcPr>
        <w:p w14:paraId="7EE1B683" w14:textId="77777777" w:rsidR="00F27F8D" w:rsidRDefault="00F27F8D" w:rsidP="001630D8">
          <w:pPr>
            <w:pStyle w:val="STMnormaali"/>
            <w:rPr>
              <w:rStyle w:val="Sivunumero"/>
              <w:lang w:eastAsia="fi-FI"/>
            </w:rPr>
          </w:pPr>
        </w:p>
      </w:tc>
    </w:tr>
  </w:tbl>
  <w:p w14:paraId="7EE1B685" w14:textId="77777777" w:rsidR="00F27F8D" w:rsidRPr="00FE0E29" w:rsidRDefault="00F27F8D" w:rsidP="00FE0E2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w:pict>
  </w:numPicBullet>
  <w:abstractNum w:abstractNumId="0" w15:restartNumberingAfterBreak="0">
    <w:nsid w:val="02B924AE"/>
    <w:multiLevelType w:val="hybridMultilevel"/>
    <w:tmpl w:val="BE3811BE"/>
    <w:lvl w:ilvl="0" w:tplc="88CC65EE">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4846E78"/>
    <w:multiLevelType w:val="hybridMultilevel"/>
    <w:tmpl w:val="87BCACA4"/>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2" w15:restartNumberingAfterBreak="0">
    <w:nsid w:val="057D32AD"/>
    <w:multiLevelType w:val="hybridMultilevel"/>
    <w:tmpl w:val="C1C068C4"/>
    <w:lvl w:ilvl="0" w:tplc="F47CD09C">
      <w:numFmt w:val="bullet"/>
      <w:lvlText w:val="-"/>
      <w:lvlJc w:val="left"/>
      <w:pPr>
        <w:ind w:left="3328" w:hanging="360"/>
      </w:pPr>
      <w:rPr>
        <w:rFonts w:ascii="Times New Roman" w:eastAsia="Times New Roman" w:hAnsi="Times New Roman" w:cs="Times New Roman"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3" w15:restartNumberingAfterBreak="0">
    <w:nsid w:val="147F046A"/>
    <w:multiLevelType w:val="hybridMultilevel"/>
    <w:tmpl w:val="31887D96"/>
    <w:lvl w:ilvl="0" w:tplc="F47CD09C">
      <w:numFmt w:val="bullet"/>
      <w:lvlText w:val="-"/>
      <w:lvlJc w:val="left"/>
      <w:pPr>
        <w:ind w:left="3328" w:hanging="360"/>
      </w:pPr>
      <w:rPr>
        <w:rFonts w:ascii="Times New Roman" w:eastAsia="Times New Roman" w:hAnsi="Times New Roman" w:cs="Times New Roman"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4" w15:restartNumberingAfterBreak="0">
    <w:nsid w:val="190D3D5C"/>
    <w:multiLevelType w:val="hybridMultilevel"/>
    <w:tmpl w:val="62AE399E"/>
    <w:lvl w:ilvl="0" w:tplc="88CC65EE">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5" w15:restartNumberingAfterBreak="0">
    <w:nsid w:val="250B421F"/>
    <w:multiLevelType w:val="hybridMultilevel"/>
    <w:tmpl w:val="93F20F84"/>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6" w15:restartNumberingAfterBreak="0">
    <w:nsid w:val="2C91020C"/>
    <w:multiLevelType w:val="multilevel"/>
    <w:tmpl w:val="A2C61B8A"/>
    <w:lvl w:ilvl="0">
      <w:start w:val="1"/>
      <w:numFmt w:val="decimal"/>
      <w:pStyle w:val="Otsikko2"/>
      <w:lvlText w:val="%1."/>
      <w:lvlJc w:val="left"/>
      <w:pPr>
        <w:ind w:left="360" w:hanging="360"/>
      </w:pPr>
      <w:rPr>
        <w:rFonts w:hint="default"/>
      </w:rPr>
    </w:lvl>
    <w:lvl w:ilvl="1">
      <w:start w:val="1"/>
      <w:numFmt w:val="decimal"/>
      <w:pStyle w:val="Otsikko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2995B75"/>
    <w:multiLevelType w:val="singleLevel"/>
    <w:tmpl w:val="C032AE32"/>
    <w:lvl w:ilvl="0">
      <w:start w:val="1"/>
      <w:numFmt w:val="decimal"/>
      <w:pStyle w:val="STMpytkirja"/>
      <w:lvlText w:val="%1"/>
      <w:lvlJc w:val="left"/>
      <w:pPr>
        <w:tabs>
          <w:tab w:val="num" w:pos="360"/>
        </w:tabs>
        <w:ind w:left="340" w:hanging="340"/>
      </w:pPr>
    </w:lvl>
  </w:abstractNum>
  <w:abstractNum w:abstractNumId="8" w15:restartNumberingAfterBreak="0">
    <w:nsid w:val="339D3C66"/>
    <w:multiLevelType w:val="hybridMultilevel"/>
    <w:tmpl w:val="927ABB24"/>
    <w:lvl w:ilvl="0" w:tplc="88CC65EE">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9" w15:restartNumberingAfterBreak="0">
    <w:nsid w:val="355C55C8"/>
    <w:multiLevelType w:val="hybridMultilevel"/>
    <w:tmpl w:val="27D81248"/>
    <w:lvl w:ilvl="0" w:tplc="7ED6557E">
      <w:numFmt w:val="bullet"/>
      <w:lvlText w:val="-"/>
      <w:lvlJc w:val="left"/>
      <w:pPr>
        <w:ind w:left="2968" w:hanging="360"/>
      </w:pPr>
      <w:rPr>
        <w:rFonts w:ascii="Times New Roman" w:eastAsia="Times New Roman" w:hAnsi="Times New Roman" w:cs="Times New Roman"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0" w15:restartNumberingAfterBreak="0">
    <w:nsid w:val="3DA116C8"/>
    <w:multiLevelType w:val="multilevel"/>
    <w:tmpl w:val="3AB8118E"/>
    <w:lvl w:ilvl="0">
      <w:start w:val="3"/>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1" w15:restartNumberingAfterBreak="0">
    <w:nsid w:val="456735D9"/>
    <w:multiLevelType w:val="multilevel"/>
    <w:tmpl w:val="31DEA0A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4A351E75"/>
    <w:multiLevelType w:val="hybridMultilevel"/>
    <w:tmpl w:val="C1B4C142"/>
    <w:lvl w:ilvl="0" w:tplc="EDDE12A6">
      <w:numFmt w:val="bullet"/>
      <w:lvlText w:val=""/>
      <w:lvlJc w:val="left"/>
      <w:pPr>
        <w:ind w:left="720" w:hanging="360"/>
      </w:pPr>
      <w:rPr>
        <w:rFonts w:ascii="Wingdings" w:eastAsia="Times New Roman" w:hAnsi="Wingdings"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D5C0888"/>
    <w:multiLevelType w:val="hybridMultilevel"/>
    <w:tmpl w:val="0DCA414E"/>
    <w:lvl w:ilvl="0" w:tplc="88CC65EE">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4" w15:restartNumberingAfterBreak="0">
    <w:nsid w:val="51E33AF4"/>
    <w:multiLevelType w:val="hybridMultilevel"/>
    <w:tmpl w:val="18027E76"/>
    <w:lvl w:ilvl="0" w:tplc="2D86DEA8">
      <w:start w:val="1"/>
      <w:numFmt w:val="bullet"/>
      <w:lvlText w:val=""/>
      <w:lvlJc w:val="left"/>
      <w:pPr>
        <w:ind w:left="3215" w:hanging="360"/>
      </w:pPr>
      <w:rPr>
        <w:rFonts w:ascii="Symbol" w:hAnsi="Symbol" w:hint="default"/>
      </w:rPr>
    </w:lvl>
    <w:lvl w:ilvl="1" w:tplc="87041FAE">
      <w:start w:val="1"/>
      <w:numFmt w:val="bullet"/>
      <w:pStyle w:val="LuetteloViiva"/>
      <w:lvlText w:val=""/>
      <w:lvlJc w:val="left"/>
      <w:pPr>
        <w:ind w:left="1440" w:hanging="360"/>
      </w:pPr>
      <w:rPr>
        <w:rFonts w:ascii="Symbol" w:hAnsi="Symbol" w:hint="default"/>
      </w:rPr>
    </w:lvl>
    <w:lvl w:ilvl="2" w:tplc="49E677FA">
      <w:start w:val="1"/>
      <w:numFmt w:val="bullet"/>
      <w:lvlText w:val=""/>
      <w:lvlJc w:val="left"/>
      <w:pPr>
        <w:ind w:left="2160" w:hanging="360"/>
      </w:pPr>
      <w:rPr>
        <w:rFonts w:ascii="Wingdings" w:hAnsi="Wingdings" w:hint="default"/>
      </w:rPr>
    </w:lvl>
    <w:lvl w:ilvl="3" w:tplc="88CC65EE">
      <w:start w:val="1"/>
      <w:numFmt w:val="bullet"/>
      <w:lvlText w:val=""/>
      <w:lvlJc w:val="left"/>
      <w:pPr>
        <w:ind w:left="2880" w:hanging="360"/>
      </w:pPr>
      <w:rPr>
        <w:rFonts w:ascii="Symbol" w:hAnsi="Symbol" w:hint="default"/>
      </w:rPr>
    </w:lvl>
    <w:lvl w:ilvl="4" w:tplc="AAA2975E">
      <w:start w:val="1"/>
      <w:numFmt w:val="bullet"/>
      <w:lvlText w:val="o"/>
      <w:lvlJc w:val="left"/>
      <w:pPr>
        <w:ind w:left="3600" w:hanging="360"/>
      </w:pPr>
      <w:rPr>
        <w:rFonts w:ascii="Courier New" w:hAnsi="Courier New" w:cs="Courier New" w:hint="default"/>
      </w:rPr>
    </w:lvl>
    <w:lvl w:ilvl="5" w:tplc="79F08EBE" w:tentative="1">
      <w:start w:val="1"/>
      <w:numFmt w:val="bullet"/>
      <w:lvlText w:val=""/>
      <w:lvlJc w:val="left"/>
      <w:pPr>
        <w:ind w:left="4320" w:hanging="360"/>
      </w:pPr>
      <w:rPr>
        <w:rFonts w:ascii="Wingdings" w:hAnsi="Wingdings" w:hint="default"/>
      </w:rPr>
    </w:lvl>
    <w:lvl w:ilvl="6" w:tplc="7434615A" w:tentative="1">
      <w:start w:val="1"/>
      <w:numFmt w:val="bullet"/>
      <w:lvlText w:val=""/>
      <w:lvlJc w:val="left"/>
      <w:pPr>
        <w:ind w:left="5040" w:hanging="360"/>
      </w:pPr>
      <w:rPr>
        <w:rFonts w:ascii="Symbol" w:hAnsi="Symbol" w:hint="default"/>
      </w:rPr>
    </w:lvl>
    <w:lvl w:ilvl="7" w:tplc="18A02D9E" w:tentative="1">
      <w:start w:val="1"/>
      <w:numFmt w:val="bullet"/>
      <w:lvlText w:val="o"/>
      <w:lvlJc w:val="left"/>
      <w:pPr>
        <w:ind w:left="5760" w:hanging="360"/>
      </w:pPr>
      <w:rPr>
        <w:rFonts w:ascii="Courier New" w:hAnsi="Courier New" w:cs="Courier New" w:hint="default"/>
      </w:rPr>
    </w:lvl>
    <w:lvl w:ilvl="8" w:tplc="7FA677B0" w:tentative="1">
      <w:start w:val="1"/>
      <w:numFmt w:val="bullet"/>
      <w:lvlText w:val=""/>
      <w:lvlJc w:val="left"/>
      <w:pPr>
        <w:ind w:left="6480" w:hanging="360"/>
      </w:pPr>
      <w:rPr>
        <w:rFonts w:ascii="Wingdings" w:hAnsi="Wingdings" w:hint="default"/>
      </w:rPr>
    </w:lvl>
  </w:abstractNum>
  <w:abstractNum w:abstractNumId="15" w15:restartNumberingAfterBreak="0">
    <w:nsid w:val="58C67842"/>
    <w:multiLevelType w:val="hybridMultilevel"/>
    <w:tmpl w:val="50F42572"/>
    <w:lvl w:ilvl="0" w:tplc="A39885D8">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5992767B"/>
    <w:multiLevelType w:val="multilevel"/>
    <w:tmpl w:val="16E6F560"/>
    <w:lvl w:ilvl="0">
      <w:start w:val="1"/>
      <w:numFmt w:val="decimal"/>
      <w:lvlText w:val="%1."/>
      <w:lvlJc w:val="left"/>
      <w:pPr>
        <w:ind w:left="360" w:hanging="360"/>
      </w:pPr>
      <w:rPr>
        <w:rFonts w:hint="default"/>
      </w:rPr>
    </w:lvl>
    <w:lvl w:ilvl="1">
      <w:start w:val="1"/>
      <w:numFmt w:val="decimal"/>
      <w:pStyle w:val="Alaotsikko"/>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EA22572"/>
    <w:multiLevelType w:val="hybridMultilevel"/>
    <w:tmpl w:val="E94A50DA"/>
    <w:lvl w:ilvl="0" w:tplc="34E00808">
      <w:start w:val="1"/>
      <w:numFmt w:val="decimal"/>
      <w:pStyle w:val="LiiteOtsikko"/>
      <w:lvlText w:val="LIITE %1."/>
      <w:lvlJc w:val="left"/>
      <w:pPr>
        <w:ind w:left="720" w:hanging="360"/>
      </w:pPr>
      <w:rPr>
        <w:rFonts w:ascii="Arial" w:hAnsi="Arial" w:hint="default"/>
        <w:b/>
        <w:i w:val="0"/>
        <w:color w:val="2A5DA8"/>
        <w:sz w:val="18"/>
        <w:szCs w:val="18"/>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698D1FD0"/>
    <w:multiLevelType w:val="multilevel"/>
    <w:tmpl w:val="07966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BC0EB2"/>
    <w:multiLevelType w:val="hybridMultilevel"/>
    <w:tmpl w:val="DF4E2C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69C62307"/>
    <w:multiLevelType w:val="hybridMultilevel"/>
    <w:tmpl w:val="0A723A10"/>
    <w:lvl w:ilvl="0" w:tplc="10447B2E">
      <w:numFmt w:val="bullet"/>
      <w:lvlText w:val="•"/>
      <w:lvlJc w:val="left"/>
      <w:pPr>
        <w:ind w:left="3913" w:hanging="1305"/>
      </w:pPr>
      <w:rPr>
        <w:rFonts w:ascii="Times New Roman" w:eastAsia="Times New Roman" w:hAnsi="Times New Roman" w:cs="Times New Roman"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21" w15:restartNumberingAfterBreak="0">
    <w:nsid w:val="6FF268FE"/>
    <w:multiLevelType w:val="hybridMultilevel"/>
    <w:tmpl w:val="3B1E535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70565B56"/>
    <w:multiLevelType w:val="hybridMultilevel"/>
    <w:tmpl w:val="943A0EDC"/>
    <w:lvl w:ilvl="0" w:tplc="73D6324A">
      <w:start w:val="1"/>
      <w:numFmt w:val="bullet"/>
      <w:lvlText w:val="•"/>
      <w:lvlJc w:val="left"/>
      <w:pPr>
        <w:tabs>
          <w:tab w:val="num" w:pos="2968"/>
        </w:tabs>
        <w:ind w:left="2968" w:hanging="360"/>
      </w:pPr>
      <w:rPr>
        <w:rFonts w:ascii="Arial" w:hAnsi="Arial" w:hint="default"/>
      </w:rPr>
    </w:lvl>
    <w:lvl w:ilvl="1" w:tplc="9B5A67BE">
      <w:start w:val="2744"/>
      <w:numFmt w:val="bullet"/>
      <w:lvlText w:val="•"/>
      <w:lvlJc w:val="left"/>
      <w:pPr>
        <w:tabs>
          <w:tab w:val="num" w:pos="3688"/>
        </w:tabs>
        <w:ind w:left="3688" w:hanging="360"/>
      </w:pPr>
      <w:rPr>
        <w:rFonts w:ascii="Arial" w:hAnsi="Arial" w:hint="default"/>
      </w:rPr>
    </w:lvl>
    <w:lvl w:ilvl="2" w:tplc="7EB8D8BE" w:tentative="1">
      <w:start w:val="1"/>
      <w:numFmt w:val="bullet"/>
      <w:lvlText w:val="•"/>
      <w:lvlJc w:val="left"/>
      <w:pPr>
        <w:tabs>
          <w:tab w:val="num" w:pos="4408"/>
        </w:tabs>
        <w:ind w:left="4408" w:hanging="360"/>
      </w:pPr>
      <w:rPr>
        <w:rFonts w:ascii="Arial" w:hAnsi="Arial" w:hint="default"/>
      </w:rPr>
    </w:lvl>
    <w:lvl w:ilvl="3" w:tplc="89DA1A88" w:tentative="1">
      <w:start w:val="1"/>
      <w:numFmt w:val="bullet"/>
      <w:lvlText w:val="•"/>
      <w:lvlJc w:val="left"/>
      <w:pPr>
        <w:tabs>
          <w:tab w:val="num" w:pos="5128"/>
        </w:tabs>
        <w:ind w:left="5128" w:hanging="360"/>
      </w:pPr>
      <w:rPr>
        <w:rFonts w:ascii="Arial" w:hAnsi="Arial" w:hint="default"/>
      </w:rPr>
    </w:lvl>
    <w:lvl w:ilvl="4" w:tplc="3732E702" w:tentative="1">
      <w:start w:val="1"/>
      <w:numFmt w:val="bullet"/>
      <w:lvlText w:val="•"/>
      <w:lvlJc w:val="left"/>
      <w:pPr>
        <w:tabs>
          <w:tab w:val="num" w:pos="5848"/>
        </w:tabs>
        <w:ind w:left="5848" w:hanging="360"/>
      </w:pPr>
      <w:rPr>
        <w:rFonts w:ascii="Arial" w:hAnsi="Arial" w:hint="default"/>
      </w:rPr>
    </w:lvl>
    <w:lvl w:ilvl="5" w:tplc="FCC254C4" w:tentative="1">
      <w:start w:val="1"/>
      <w:numFmt w:val="bullet"/>
      <w:lvlText w:val="•"/>
      <w:lvlJc w:val="left"/>
      <w:pPr>
        <w:tabs>
          <w:tab w:val="num" w:pos="6568"/>
        </w:tabs>
        <w:ind w:left="6568" w:hanging="360"/>
      </w:pPr>
      <w:rPr>
        <w:rFonts w:ascii="Arial" w:hAnsi="Arial" w:hint="default"/>
      </w:rPr>
    </w:lvl>
    <w:lvl w:ilvl="6" w:tplc="41303166" w:tentative="1">
      <w:start w:val="1"/>
      <w:numFmt w:val="bullet"/>
      <w:lvlText w:val="•"/>
      <w:lvlJc w:val="left"/>
      <w:pPr>
        <w:tabs>
          <w:tab w:val="num" w:pos="7288"/>
        </w:tabs>
        <w:ind w:left="7288" w:hanging="360"/>
      </w:pPr>
      <w:rPr>
        <w:rFonts w:ascii="Arial" w:hAnsi="Arial" w:hint="default"/>
      </w:rPr>
    </w:lvl>
    <w:lvl w:ilvl="7" w:tplc="9102A4BA" w:tentative="1">
      <w:start w:val="1"/>
      <w:numFmt w:val="bullet"/>
      <w:lvlText w:val="•"/>
      <w:lvlJc w:val="left"/>
      <w:pPr>
        <w:tabs>
          <w:tab w:val="num" w:pos="8008"/>
        </w:tabs>
        <w:ind w:left="8008" w:hanging="360"/>
      </w:pPr>
      <w:rPr>
        <w:rFonts w:ascii="Arial" w:hAnsi="Arial" w:hint="default"/>
      </w:rPr>
    </w:lvl>
    <w:lvl w:ilvl="8" w:tplc="F92CC03E" w:tentative="1">
      <w:start w:val="1"/>
      <w:numFmt w:val="bullet"/>
      <w:lvlText w:val="•"/>
      <w:lvlJc w:val="left"/>
      <w:pPr>
        <w:tabs>
          <w:tab w:val="num" w:pos="8728"/>
        </w:tabs>
        <w:ind w:left="8728" w:hanging="360"/>
      </w:pPr>
      <w:rPr>
        <w:rFonts w:ascii="Arial" w:hAnsi="Arial" w:hint="default"/>
      </w:rPr>
    </w:lvl>
  </w:abstractNum>
  <w:abstractNum w:abstractNumId="23" w15:restartNumberingAfterBreak="0">
    <w:nsid w:val="7A0D06A6"/>
    <w:multiLevelType w:val="hybridMultilevel"/>
    <w:tmpl w:val="5D200610"/>
    <w:lvl w:ilvl="0" w:tplc="88CC65EE">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num w:numId="1">
    <w:abstractNumId w:val="7"/>
  </w:num>
  <w:num w:numId="2">
    <w:abstractNumId w:val="16"/>
  </w:num>
  <w:num w:numId="3">
    <w:abstractNumId w:val="6"/>
  </w:num>
  <w:num w:numId="4">
    <w:abstractNumId w:val="3"/>
  </w:num>
  <w:num w:numId="5">
    <w:abstractNumId w:val="2"/>
  </w:num>
  <w:num w:numId="6">
    <w:abstractNumId w:val="15"/>
  </w:num>
  <w:num w:numId="7">
    <w:abstractNumId w:val="1"/>
  </w:num>
  <w:num w:numId="8">
    <w:abstractNumId w:val="10"/>
  </w:num>
  <w:num w:numId="9">
    <w:abstractNumId w:val="13"/>
  </w:num>
  <w:num w:numId="10">
    <w:abstractNumId w:val="22"/>
  </w:num>
  <w:num w:numId="11">
    <w:abstractNumId w:val="5"/>
  </w:num>
  <w:num w:numId="12">
    <w:abstractNumId w:val="11"/>
  </w:num>
  <w:num w:numId="13">
    <w:abstractNumId w:val="21"/>
  </w:num>
  <w:num w:numId="14">
    <w:abstractNumId w:val="19"/>
  </w:num>
  <w:num w:numId="15">
    <w:abstractNumId w:val="6"/>
  </w:num>
  <w:num w:numId="16">
    <w:abstractNumId w:val="6"/>
  </w:num>
  <w:num w:numId="17">
    <w:abstractNumId w:val="6"/>
  </w:num>
  <w:num w:numId="18">
    <w:abstractNumId w:val="6"/>
  </w:num>
  <w:num w:numId="19">
    <w:abstractNumId w:val="0"/>
  </w:num>
  <w:num w:numId="20">
    <w:abstractNumId w:val="20"/>
  </w:num>
  <w:num w:numId="21">
    <w:abstractNumId w:val="4"/>
  </w:num>
  <w:num w:numId="22">
    <w:abstractNumId w:val="8"/>
  </w:num>
  <w:num w:numId="23">
    <w:abstractNumId w:val="17"/>
  </w:num>
  <w:num w:numId="24">
    <w:abstractNumId w:val="14"/>
  </w:num>
  <w:num w:numId="25">
    <w:abstractNumId w:val="23"/>
  </w:num>
  <w:num w:numId="26">
    <w:abstractNumId w:val="9"/>
  </w:num>
  <w:num w:numId="27">
    <w:abstractNumId w:val="12"/>
  </w:num>
  <w:num w:numId="28">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hideSpellingErrors/>
  <w:hideGrammaticalErrors/>
  <w:proofState w:spelling="clean" w:grammar="clean"/>
  <w:defaultTabStop w:val="1304"/>
  <w:hyphenationZone w:val="425"/>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8DF"/>
    <w:rsid w:val="00000F14"/>
    <w:rsid w:val="00001093"/>
    <w:rsid w:val="000021C2"/>
    <w:rsid w:val="000038B9"/>
    <w:rsid w:val="00005545"/>
    <w:rsid w:val="00007A60"/>
    <w:rsid w:val="00011279"/>
    <w:rsid w:val="0001293C"/>
    <w:rsid w:val="00014A27"/>
    <w:rsid w:val="00015B1F"/>
    <w:rsid w:val="00022627"/>
    <w:rsid w:val="000249D8"/>
    <w:rsid w:val="00024C4F"/>
    <w:rsid w:val="00024C87"/>
    <w:rsid w:val="000274C5"/>
    <w:rsid w:val="00032BA0"/>
    <w:rsid w:val="00034EC6"/>
    <w:rsid w:val="00040F0A"/>
    <w:rsid w:val="00041C36"/>
    <w:rsid w:val="0004540E"/>
    <w:rsid w:val="00045711"/>
    <w:rsid w:val="000462EC"/>
    <w:rsid w:val="00046725"/>
    <w:rsid w:val="00050BFD"/>
    <w:rsid w:val="00051211"/>
    <w:rsid w:val="00051387"/>
    <w:rsid w:val="00052C71"/>
    <w:rsid w:val="00053256"/>
    <w:rsid w:val="00060DDB"/>
    <w:rsid w:val="000612F6"/>
    <w:rsid w:val="00062215"/>
    <w:rsid w:val="00063330"/>
    <w:rsid w:val="000657E6"/>
    <w:rsid w:val="00065947"/>
    <w:rsid w:val="00065B2F"/>
    <w:rsid w:val="00071237"/>
    <w:rsid w:val="00077514"/>
    <w:rsid w:val="000809AC"/>
    <w:rsid w:val="00082BB4"/>
    <w:rsid w:val="000854B4"/>
    <w:rsid w:val="00085B8D"/>
    <w:rsid w:val="00085EA7"/>
    <w:rsid w:val="00086D94"/>
    <w:rsid w:val="00086F7E"/>
    <w:rsid w:val="00091185"/>
    <w:rsid w:val="0009143C"/>
    <w:rsid w:val="00093A9A"/>
    <w:rsid w:val="000A1207"/>
    <w:rsid w:val="000A2B5B"/>
    <w:rsid w:val="000A3946"/>
    <w:rsid w:val="000A4E04"/>
    <w:rsid w:val="000A5BE5"/>
    <w:rsid w:val="000A5D07"/>
    <w:rsid w:val="000A7F27"/>
    <w:rsid w:val="000B13A0"/>
    <w:rsid w:val="000B1458"/>
    <w:rsid w:val="000B23CA"/>
    <w:rsid w:val="000B2771"/>
    <w:rsid w:val="000B5331"/>
    <w:rsid w:val="000B591E"/>
    <w:rsid w:val="000C3182"/>
    <w:rsid w:val="000C33F6"/>
    <w:rsid w:val="000C42C3"/>
    <w:rsid w:val="000C62B5"/>
    <w:rsid w:val="000D0A18"/>
    <w:rsid w:val="000D21E6"/>
    <w:rsid w:val="000D43EB"/>
    <w:rsid w:val="000D4A25"/>
    <w:rsid w:val="000D4E57"/>
    <w:rsid w:val="000D5467"/>
    <w:rsid w:val="000D5A9C"/>
    <w:rsid w:val="000D6CA0"/>
    <w:rsid w:val="000E2A46"/>
    <w:rsid w:val="000E4D9F"/>
    <w:rsid w:val="000E6989"/>
    <w:rsid w:val="000E7045"/>
    <w:rsid w:val="000F0916"/>
    <w:rsid w:val="000F28E6"/>
    <w:rsid w:val="0010053B"/>
    <w:rsid w:val="00102326"/>
    <w:rsid w:val="00104DAF"/>
    <w:rsid w:val="0010614F"/>
    <w:rsid w:val="0010683B"/>
    <w:rsid w:val="00106A0C"/>
    <w:rsid w:val="00107C26"/>
    <w:rsid w:val="00107C62"/>
    <w:rsid w:val="00110056"/>
    <w:rsid w:val="0011166A"/>
    <w:rsid w:val="00116C07"/>
    <w:rsid w:val="00117461"/>
    <w:rsid w:val="00120A13"/>
    <w:rsid w:val="0012104E"/>
    <w:rsid w:val="001213F2"/>
    <w:rsid w:val="001218C2"/>
    <w:rsid w:val="00122E73"/>
    <w:rsid w:val="0012393E"/>
    <w:rsid w:val="00125A6B"/>
    <w:rsid w:val="00125E2A"/>
    <w:rsid w:val="001300A7"/>
    <w:rsid w:val="00130EDF"/>
    <w:rsid w:val="001346F7"/>
    <w:rsid w:val="0013584F"/>
    <w:rsid w:val="0013635D"/>
    <w:rsid w:val="00136777"/>
    <w:rsid w:val="0014015B"/>
    <w:rsid w:val="00140760"/>
    <w:rsid w:val="0014794B"/>
    <w:rsid w:val="00150F4E"/>
    <w:rsid w:val="00153C05"/>
    <w:rsid w:val="00153C08"/>
    <w:rsid w:val="00154142"/>
    <w:rsid w:val="001553B2"/>
    <w:rsid w:val="00155526"/>
    <w:rsid w:val="001575D6"/>
    <w:rsid w:val="0016112D"/>
    <w:rsid w:val="001630D8"/>
    <w:rsid w:val="00163485"/>
    <w:rsid w:val="00164F16"/>
    <w:rsid w:val="001676AA"/>
    <w:rsid w:val="00170CDB"/>
    <w:rsid w:val="00171401"/>
    <w:rsid w:val="0017194C"/>
    <w:rsid w:val="00172548"/>
    <w:rsid w:val="001774D7"/>
    <w:rsid w:val="00191699"/>
    <w:rsid w:val="0019190E"/>
    <w:rsid w:val="00192919"/>
    <w:rsid w:val="0019386D"/>
    <w:rsid w:val="00193D29"/>
    <w:rsid w:val="001949D0"/>
    <w:rsid w:val="00197691"/>
    <w:rsid w:val="001A1582"/>
    <w:rsid w:val="001A15A7"/>
    <w:rsid w:val="001A1718"/>
    <w:rsid w:val="001A21ED"/>
    <w:rsid w:val="001A74E8"/>
    <w:rsid w:val="001B3A3A"/>
    <w:rsid w:val="001B462D"/>
    <w:rsid w:val="001B6002"/>
    <w:rsid w:val="001C0655"/>
    <w:rsid w:val="001C1096"/>
    <w:rsid w:val="001C193F"/>
    <w:rsid w:val="001C1B5B"/>
    <w:rsid w:val="001C2422"/>
    <w:rsid w:val="001C4251"/>
    <w:rsid w:val="001C4F4D"/>
    <w:rsid w:val="001C5351"/>
    <w:rsid w:val="001C5477"/>
    <w:rsid w:val="001C6290"/>
    <w:rsid w:val="001C754E"/>
    <w:rsid w:val="001C7825"/>
    <w:rsid w:val="001D5536"/>
    <w:rsid w:val="001D5A7D"/>
    <w:rsid w:val="001E0493"/>
    <w:rsid w:val="001E0AE7"/>
    <w:rsid w:val="001E2B8F"/>
    <w:rsid w:val="001E3872"/>
    <w:rsid w:val="001E49FD"/>
    <w:rsid w:val="001E589E"/>
    <w:rsid w:val="001E5927"/>
    <w:rsid w:val="001F2C52"/>
    <w:rsid w:val="001F3ED6"/>
    <w:rsid w:val="001F56CF"/>
    <w:rsid w:val="002012FB"/>
    <w:rsid w:val="002016BE"/>
    <w:rsid w:val="00202120"/>
    <w:rsid w:val="00202AAC"/>
    <w:rsid w:val="002056EE"/>
    <w:rsid w:val="00205793"/>
    <w:rsid w:val="002062BA"/>
    <w:rsid w:val="002067EB"/>
    <w:rsid w:val="00207341"/>
    <w:rsid w:val="00212560"/>
    <w:rsid w:val="00213076"/>
    <w:rsid w:val="002173AB"/>
    <w:rsid w:val="0021757C"/>
    <w:rsid w:val="00220741"/>
    <w:rsid w:val="00221A22"/>
    <w:rsid w:val="00223E25"/>
    <w:rsid w:val="002279EE"/>
    <w:rsid w:val="00227EAC"/>
    <w:rsid w:val="00231A41"/>
    <w:rsid w:val="00231F90"/>
    <w:rsid w:val="00232E2D"/>
    <w:rsid w:val="0023388B"/>
    <w:rsid w:val="00240CCC"/>
    <w:rsid w:val="002458B6"/>
    <w:rsid w:val="0024663D"/>
    <w:rsid w:val="00246B11"/>
    <w:rsid w:val="0025460B"/>
    <w:rsid w:val="00256521"/>
    <w:rsid w:val="002573A4"/>
    <w:rsid w:val="00261D1A"/>
    <w:rsid w:val="00262934"/>
    <w:rsid w:val="00263675"/>
    <w:rsid w:val="00266729"/>
    <w:rsid w:val="00267534"/>
    <w:rsid w:val="0027102B"/>
    <w:rsid w:val="002735E2"/>
    <w:rsid w:val="00273FFC"/>
    <w:rsid w:val="00274BEB"/>
    <w:rsid w:val="002756DB"/>
    <w:rsid w:val="0027741B"/>
    <w:rsid w:val="00277AFD"/>
    <w:rsid w:val="00280CD9"/>
    <w:rsid w:val="002817D2"/>
    <w:rsid w:val="002820E2"/>
    <w:rsid w:val="00283148"/>
    <w:rsid w:val="00283950"/>
    <w:rsid w:val="00284E03"/>
    <w:rsid w:val="00286BF1"/>
    <w:rsid w:val="00286F3D"/>
    <w:rsid w:val="00292915"/>
    <w:rsid w:val="00295BF5"/>
    <w:rsid w:val="002A004F"/>
    <w:rsid w:val="002A0B48"/>
    <w:rsid w:val="002A1FD8"/>
    <w:rsid w:val="002A3690"/>
    <w:rsid w:val="002A66C2"/>
    <w:rsid w:val="002A7F20"/>
    <w:rsid w:val="002B0433"/>
    <w:rsid w:val="002B4DA1"/>
    <w:rsid w:val="002B5416"/>
    <w:rsid w:val="002B5D88"/>
    <w:rsid w:val="002B62C6"/>
    <w:rsid w:val="002B64F0"/>
    <w:rsid w:val="002C2059"/>
    <w:rsid w:val="002C28D5"/>
    <w:rsid w:val="002C40C1"/>
    <w:rsid w:val="002C7B9C"/>
    <w:rsid w:val="002D03CF"/>
    <w:rsid w:val="002D206A"/>
    <w:rsid w:val="002D3104"/>
    <w:rsid w:val="002D343D"/>
    <w:rsid w:val="002D3855"/>
    <w:rsid w:val="002E3864"/>
    <w:rsid w:val="002E53D9"/>
    <w:rsid w:val="002E7247"/>
    <w:rsid w:val="002E7E54"/>
    <w:rsid w:val="002F08B9"/>
    <w:rsid w:val="002F3FDA"/>
    <w:rsid w:val="002F7B28"/>
    <w:rsid w:val="002F7F62"/>
    <w:rsid w:val="0030107D"/>
    <w:rsid w:val="003028ED"/>
    <w:rsid w:val="00305203"/>
    <w:rsid w:val="00307396"/>
    <w:rsid w:val="00307E13"/>
    <w:rsid w:val="00310D10"/>
    <w:rsid w:val="00311081"/>
    <w:rsid w:val="00311D90"/>
    <w:rsid w:val="00315125"/>
    <w:rsid w:val="00317788"/>
    <w:rsid w:val="003201D5"/>
    <w:rsid w:val="00320709"/>
    <w:rsid w:val="00323C4F"/>
    <w:rsid w:val="00335D9B"/>
    <w:rsid w:val="00336159"/>
    <w:rsid w:val="003373A5"/>
    <w:rsid w:val="0033792C"/>
    <w:rsid w:val="00342AA9"/>
    <w:rsid w:val="00343A7E"/>
    <w:rsid w:val="0034480A"/>
    <w:rsid w:val="00347C5C"/>
    <w:rsid w:val="00347C5D"/>
    <w:rsid w:val="003512E0"/>
    <w:rsid w:val="003512FA"/>
    <w:rsid w:val="00352B37"/>
    <w:rsid w:val="00353113"/>
    <w:rsid w:val="00353338"/>
    <w:rsid w:val="0035555B"/>
    <w:rsid w:val="00355DE4"/>
    <w:rsid w:val="0035673E"/>
    <w:rsid w:val="003568B1"/>
    <w:rsid w:val="0035747B"/>
    <w:rsid w:val="00360994"/>
    <w:rsid w:val="003615C7"/>
    <w:rsid w:val="003629D9"/>
    <w:rsid w:val="00363CC9"/>
    <w:rsid w:val="00363D5B"/>
    <w:rsid w:val="00363EFE"/>
    <w:rsid w:val="003646C9"/>
    <w:rsid w:val="00364D09"/>
    <w:rsid w:val="0036566F"/>
    <w:rsid w:val="003727EE"/>
    <w:rsid w:val="003770B0"/>
    <w:rsid w:val="003772EB"/>
    <w:rsid w:val="003808FD"/>
    <w:rsid w:val="00382E97"/>
    <w:rsid w:val="0039083B"/>
    <w:rsid w:val="00391A26"/>
    <w:rsid w:val="00391B62"/>
    <w:rsid w:val="0039349B"/>
    <w:rsid w:val="0039389B"/>
    <w:rsid w:val="00395BA1"/>
    <w:rsid w:val="00395CF7"/>
    <w:rsid w:val="003A4C77"/>
    <w:rsid w:val="003A5D7F"/>
    <w:rsid w:val="003A66AA"/>
    <w:rsid w:val="003A6794"/>
    <w:rsid w:val="003B00C6"/>
    <w:rsid w:val="003B09BD"/>
    <w:rsid w:val="003B22E8"/>
    <w:rsid w:val="003B5265"/>
    <w:rsid w:val="003C2AF1"/>
    <w:rsid w:val="003C4FA9"/>
    <w:rsid w:val="003C63E9"/>
    <w:rsid w:val="003C6C02"/>
    <w:rsid w:val="003C7FB0"/>
    <w:rsid w:val="003D006D"/>
    <w:rsid w:val="003D2F54"/>
    <w:rsid w:val="003D4EEB"/>
    <w:rsid w:val="003D5CF3"/>
    <w:rsid w:val="003D5D1A"/>
    <w:rsid w:val="003D6E72"/>
    <w:rsid w:val="003D7574"/>
    <w:rsid w:val="003D7753"/>
    <w:rsid w:val="003E3BE7"/>
    <w:rsid w:val="003E5756"/>
    <w:rsid w:val="003F09BA"/>
    <w:rsid w:val="003F5A03"/>
    <w:rsid w:val="003F5D44"/>
    <w:rsid w:val="003F6581"/>
    <w:rsid w:val="00400F2A"/>
    <w:rsid w:val="00402793"/>
    <w:rsid w:val="004050CD"/>
    <w:rsid w:val="004058BC"/>
    <w:rsid w:val="00406E99"/>
    <w:rsid w:val="00411E6B"/>
    <w:rsid w:val="0041500B"/>
    <w:rsid w:val="0042057F"/>
    <w:rsid w:val="00422B9C"/>
    <w:rsid w:val="00424A79"/>
    <w:rsid w:val="0042505A"/>
    <w:rsid w:val="00426015"/>
    <w:rsid w:val="00431E23"/>
    <w:rsid w:val="00435250"/>
    <w:rsid w:val="00435823"/>
    <w:rsid w:val="00440774"/>
    <w:rsid w:val="0044222C"/>
    <w:rsid w:val="004427E9"/>
    <w:rsid w:val="004438E9"/>
    <w:rsid w:val="00446ED7"/>
    <w:rsid w:val="004473A2"/>
    <w:rsid w:val="0045058F"/>
    <w:rsid w:val="00450C3C"/>
    <w:rsid w:val="004566E6"/>
    <w:rsid w:val="0045764F"/>
    <w:rsid w:val="00462091"/>
    <w:rsid w:val="0046256A"/>
    <w:rsid w:val="0046466D"/>
    <w:rsid w:val="00472CE9"/>
    <w:rsid w:val="00473034"/>
    <w:rsid w:val="00473E93"/>
    <w:rsid w:val="004762B9"/>
    <w:rsid w:val="00476ECB"/>
    <w:rsid w:val="00476F6E"/>
    <w:rsid w:val="00477ED7"/>
    <w:rsid w:val="0048002E"/>
    <w:rsid w:val="00480461"/>
    <w:rsid w:val="00480CE6"/>
    <w:rsid w:val="00482182"/>
    <w:rsid w:val="00484D5F"/>
    <w:rsid w:val="0049019E"/>
    <w:rsid w:val="004908BB"/>
    <w:rsid w:val="00490BFA"/>
    <w:rsid w:val="00493A12"/>
    <w:rsid w:val="004A0D9C"/>
    <w:rsid w:val="004A3CB5"/>
    <w:rsid w:val="004A569A"/>
    <w:rsid w:val="004A58D5"/>
    <w:rsid w:val="004A6980"/>
    <w:rsid w:val="004A6B1A"/>
    <w:rsid w:val="004B22DC"/>
    <w:rsid w:val="004B7EFC"/>
    <w:rsid w:val="004C1CE6"/>
    <w:rsid w:val="004C37B2"/>
    <w:rsid w:val="004C3F9A"/>
    <w:rsid w:val="004C4829"/>
    <w:rsid w:val="004C54F1"/>
    <w:rsid w:val="004C76F5"/>
    <w:rsid w:val="004D0C70"/>
    <w:rsid w:val="004D2E04"/>
    <w:rsid w:val="004D5AC5"/>
    <w:rsid w:val="004D6018"/>
    <w:rsid w:val="004D6671"/>
    <w:rsid w:val="004D7329"/>
    <w:rsid w:val="004D7611"/>
    <w:rsid w:val="004E006A"/>
    <w:rsid w:val="004E1343"/>
    <w:rsid w:val="004E13A1"/>
    <w:rsid w:val="004E1489"/>
    <w:rsid w:val="004E1F8B"/>
    <w:rsid w:val="004E3289"/>
    <w:rsid w:val="004E3842"/>
    <w:rsid w:val="004E6915"/>
    <w:rsid w:val="004E7B42"/>
    <w:rsid w:val="004F2DA1"/>
    <w:rsid w:val="004F671B"/>
    <w:rsid w:val="005006CA"/>
    <w:rsid w:val="00501FBF"/>
    <w:rsid w:val="00504BF8"/>
    <w:rsid w:val="00506DDD"/>
    <w:rsid w:val="00507BC8"/>
    <w:rsid w:val="0051276C"/>
    <w:rsid w:val="00513DCD"/>
    <w:rsid w:val="00514689"/>
    <w:rsid w:val="00514EF6"/>
    <w:rsid w:val="0051515D"/>
    <w:rsid w:val="00515DA2"/>
    <w:rsid w:val="00515F31"/>
    <w:rsid w:val="0051637B"/>
    <w:rsid w:val="00516C39"/>
    <w:rsid w:val="00517A15"/>
    <w:rsid w:val="00520139"/>
    <w:rsid w:val="00520EE9"/>
    <w:rsid w:val="005216B5"/>
    <w:rsid w:val="0052429C"/>
    <w:rsid w:val="005244EC"/>
    <w:rsid w:val="00524BEE"/>
    <w:rsid w:val="00525418"/>
    <w:rsid w:val="005254B7"/>
    <w:rsid w:val="00526139"/>
    <w:rsid w:val="00526320"/>
    <w:rsid w:val="00526639"/>
    <w:rsid w:val="00526FCE"/>
    <w:rsid w:val="0053007E"/>
    <w:rsid w:val="00531464"/>
    <w:rsid w:val="00531B8C"/>
    <w:rsid w:val="0053509B"/>
    <w:rsid w:val="00535602"/>
    <w:rsid w:val="00535838"/>
    <w:rsid w:val="00540058"/>
    <w:rsid w:val="00540B02"/>
    <w:rsid w:val="00542897"/>
    <w:rsid w:val="00543BF9"/>
    <w:rsid w:val="005443C4"/>
    <w:rsid w:val="00546978"/>
    <w:rsid w:val="005475E1"/>
    <w:rsid w:val="00547946"/>
    <w:rsid w:val="005544F9"/>
    <w:rsid w:val="005610C3"/>
    <w:rsid w:val="00562FD2"/>
    <w:rsid w:val="005635A2"/>
    <w:rsid w:val="005636AA"/>
    <w:rsid w:val="00565739"/>
    <w:rsid w:val="00566C71"/>
    <w:rsid w:val="005710B1"/>
    <w:rsid w:val="00573AC0"/>
    <w:rsid w:val="0057554B"/>
    <w:rsid w:val="00581855"/>
    <w:rsid w:val="00582648"/>
    <w:rsid w:val="005867B0"/>
    <w:rsid w:val="00587468"/>
    <w:rsid w:val="005906DD"/>
    <w:rsid w:val="005909AD"/>
    <w:rsid w:val="005935DB"/>
    <w:rsid w:val="005A10CD"/>
    <w:rsid w:val="005A258C"/>
    <w:rsid w:val="005A4F01"/>
    <w:rsid w:val="005A51BB"/>
    <w:rsid w:val="005A5919"/>
    <w:rsid w:val="005B4537"/>
    <w:rsid w:val="005B6526"/>
    <w:rsid w:val="005B6CD1"/>
    <w:rsid w:val="005C1608"/>
    <w:rsid w:val="005C1DE2"/>
    <w:rsid w:val="005C2638"/>
    <w:rsid w:val="005C2CCA"/>
    <w:rsid w:val="005C3AD1"/>
    <w:rsid w:val="005C4CB7"/>
    <w:rsid w:val="005D08FB"/>
    <w:rsid w:val="005D2ACB"/>
    <w:rsid w:val="005D4429"/>
    <w:rsid w:val="005D6CFE"/>
    <w:rsid w:val="005D6FCF"/>
    <w:rsid w:val="005E04CF"/>
    <w:rsid w:val="005E547C"/>
    <w:rsid w:val="005E5761"/>
    <w:rsid w:val="005E69F3"/>
    <w:rsid w:val="005F23DC"/>
    <w:rsid w:val="005F369C"/>
    <w:rsid w:val="005F3C18"/>
    <w:rsid w:val="005F7748"/>
    <w:rsid w:val="00600D96"/>
    <w:rsid w:val="0060274E"/>
    <w:rsid w:val="006037D1"/>
    <w:rsid w:val="006049BC"/>
    <w:rsid w:val="00610625"/>
    <w:rsid w:val="00612037"/>
    <w:rsid w:val="0061215D"/>
    <w:rsid w:val="0061295B"/>
    <w:rsid w:val="006134AB"/>
    <w:rsid w:val="0062114C"/>
    <w:rsid w:val="0062172B"/>
    <w:rsid w:val="0062460B"/>
    <w:rsid w:val="006251DD"/>
    <w:rsid w:val="006273F2"/>
    <w:rsid w:val="00632D03"/>
    <w:rsid w:val="0063420E"/>
    <w:rsid w:val="00642220"/>
    <w:rsid w:val="006426CB"/>
    <w:rsid w:val="00642C51"/>
    <w:rsid w:val="006458F9"/>
    <w:rsid w:val="00645F6C"/>
    <w:rsid w:val="00646509"/>
    <w:rsid w:val="0064711D"/>
    <w:rsid w:val="0064718E"/>
    <w:rsid w:val="006473DA"/>
    <w:rsid w:val="00647AB6"/>
    <w:rsid w:val="00651271"/>
    <w:rsid w:val="00652028"/>
    <w:rsid w:val="006529EB"/>
    <w:rsid w:val="00653618"/>
    <w:rsid w:val="006562BC"/>
    <w:rsid w:val="00656A03"/>
    <w:rsid w:val="006602F0"/>
    <w:rsid w:val="00671476"/>
    <w:rsid w:val="006733FE"/>
    <w:rsid w:val="006747F6"/>
    <w:rsid w:val="00674C5F"/>
    <w:rsid w:val="006758D2"/>
    <w:rsid w:val="00676888"/>
    <w:rsid w:val="00680EB2"/>
    <w:rsid w:val="0068242F"/>
    <w:rsid w:val="006856AD"/>
    <w:rsid w:val="0069474E"/>
    <w:rsid w:val="006950D1"/>
    <w:rsid w:val="006957CB"/>
    <w:rsid w:val="006A080E"/>
    <w:rsid w:val="006A08BE"/>
    <w:rsid w:val="006A14F6"/>
    <w:rsid w:val="006A378F"/>
    <w:rsid w:val="006A52A4"/>
    <w:rsid w:val="006A6AB2"/>
    <w:rsid w:val="006B13DE"/>
    <w:rsid w:val="006B16DE"/>
    <w:rsid w:val="006B210A"/>
    <w:rsid w:val="006B26D4"/>
    <w:rsid w:val="006B3A34"/>
    <w:rsid w:val="006B658F"/>
    <w:rsid w:val="006B685C"/>
    <w:rsid w:val="006B69AB"/>
    <w:rsid w:val="006C11B3"/>
    <w:rsid w:val="006C17E0"/>
    <w:rsid w:val="006C21EE"/>
    <w:rsid w:val="006C30A1"/>
    <w:rsid w:val="006C39D5"/>
    <w:rsid w:val="006C65D7"/>
    <w:rsid w:val="006C6E61"/>
    <w:rsid w:val="006D0598"/>
    <w:rsid w:val="006D37D5"/>
    <w:rsid w:val="006D6F69"/>
    <w:rsid w:val="006D7018"/>
    <w:rsid w:val="006E0E1C"/>
    <w:rsid w:val="006E1E6B"/>
    <w:rsid w:val="006E2CA6"/>
    <w:rsid w:val="006E3CE0"/>
    <w:rsid w:val="006E4F2A"/>
    <w:rsid w:val="006F76EE"/>
    <w:rsid w:val="0070081B"/>
    <w:rsid w:val="00702B03"/>
    <w:rsid w:val="0070438C"/>
    <w:rsid w:val="007057B6"/>
    <w:rsid w:val="00705AC5"/>
    <w:rsid w:val="00705F33"/>
    <w:rsid w:val="00707B82"/>
    <w:rsid w:val="007112F2"/>
    <w:rsid w:val="00712311"/>
    <w:rsid w:val="0071260B"/>
    <w:rsid w:val="00715FEB"/>
    <w:rsid w:val="007163A3"/>
    <w:rsid w:val="00717130"/>
    <w:rsid w:val="007200DC"/>
    <w:rsid w:val="007213D3"/>
    <w:rsid w:val="00722C99"/>
    <w:rsid w:val="00724B6E"/>
    <w:rsid w:val="00732903"/>
    <w:rsid w:val="00732CA9"/>
    <w:rsid w:val="00732F92"/>
    <w:rsid w:val="00734C2A"/>
    <w:rsid w:val="00737824"/>
    <w:rsid w:val="00737B3F"/>
    <w:rsid w:val="007452F1"/>
    <w:rsid w:val="00745733"/>
    <w:rsid w:val="0074626B"/>
    <w:rsid w:val="00746F13"/>
    <w:rsid w:val="007501D1"/>
    <w:rsid w:val="007511AD"/>
    <w:rsid w:val="00752198"/>
    <w:rsid w:val="00753183"/>
    <w:rsid w:val="0076059B"/>
    <w:rsid w:val="0076298D"/>
    <w:rsid w:val="00767434"/>
    <w:rsid w:val="007752D6"/>
    <w:rsid w:val="00776256"/>
    <w:rsid w:val="00776576"/>
    <w:rsid w:val="00777135"/>
    <w:rsid w:val="0077759E"/>
    <w:rsid w:val="0078316E"/>
    <w:rsid w:val="007868FF"/>
    <w:rsid w:val="00792FA1"/>
    <w:rsid w:val="00793248"/>
    <w:rsid w:val="007956E0"/>
    <w:rsid w:val="00795CD8"/>
    <w:rsid w:val="00796078"/>
    <w:rsid w:val="007A1474"/>
    <w:rsid w:val="007A31F9"/>
    <w:rsid w:val="007A6A04"/>
    <w:rsid w:val="007B04B6"/>
    <w:rsid w:val="007B2CA1"/>
    <w:rsid w:val="007B6C7C"/>
    <w:rsid w:val="007B7FB0"/>
    <w:rsid w:val="007C15CB"/>
    <w:rsid w:val="007C1CD4"/>
    <w:rsid w:val="007C432E"/>
    <w:rsid w:val="007C5819"/>
    <w:rsid w:val="007C7AFD"/>
    <w:rsid w:val="007C7CE3"/>
    <w:rsid w:val="007C7DCD"/>
    <w:rsid w:val="007D352C"/>
    <w:rsid w:val="007D40E7"/>
    <w:rsid w:val="007D53DC"/>
    <w:rsid w:val="007E02A7"/>
    <w:rsid w:val="007E3D3E"/>
    <w:rsid w:val="007F2339"/>
    <w:rsid w:val="007F28DF"/>
    <w:rsid w:val="007F781E"/>
    <w:rsid w:val="007F7A4C"/>
    <w:rsid w:val="00800398"/>
    <w:rsid w:val="0080181F"/>
    <w:rsid w:val="00801A84"/>
    <w:rsid w:val="00801E5C"/>
    <w:rsid w:val="00801FD7"/>
    <w:rsid w:val="0080246C"/>
    <w:rsid w:val="00813B79"/>
    <w:rsid w:val="00813DA3"/>
    <w:rsid w:val="00817447"/>
    <w:rsid w:val="0082044D"/>
    <w:rsid w:val="00820A7F"/>
    <w:rsid w:val="00822BC2"/>
    <w:rsid w:val="00823086"/>
    <w:rsid w:val="00823644"/>
    <w:rsid w:val="008245CB"/>
    <w:rsid w:val="00824EB6"/>
    <w:rsid w:val="00825AD9"/>
    <w:rsid w:val="00832AFE"/>
    <w:rsid w:val="00832C08"/>
    <w:rsid w:val="0083368F"/>
    <w:rsid w:val="008344C9"/>
    <w:rsid w:val="00834EA8"/>
    <w:rsid w:val="00835043"/>
    <w:rsid w:val="00836248"/>
    <w:rsid w:val="00837D7C"/>
    <w:rsid w:val="00840B3E"/>
    <w:rsid w:val="00846AC4"/>
    <w:rsid w:val="00847D81"/>
    <w:rsid w:val="008530CF"/>
    <w:rsid w:val="0085347A"/>
    <w:rsid w:val="0085358C"/>
    <w:rsid w:val="00854E06"/>
    <w:rsid w:val="00856EAD"/>
    <w:rsid w:val="00856FDF"/>
    <w:rsid w:val="0086031D"/>
    <w:rsid w:val="00863BA6"/>
    <w:rsid w:val="00867C56"/>
    <w:rsid w:val="00867F53"/>
    <w:rsid w:val="0087023C"/>
    <w:rsid w:val="008706A4"/>
    <w:rsid w:val="00871815"/>
    <w:rsid w:val="00873084"/>
    <w:rsid w:val="00873665"/>
    <w:rsid w:val="008752C2"/>
    <w:rsid w:val="0087536B"/>
    <w:rsid w:val="00876104"/>
    <w:rsid w:val="00877F44"/>
    <w:rsid w:val="00881AB8"/>
    <w:rsid w:val="00883C89"/>
    <w:rsid w:val="00884329"/>
    <w:rsid w:val="00885C86"/>
    <w:rsid w:val="008860EE"/>
    <w:rsid w:val="008875A6"/>
    <w:rsid w:val="0088790D"/>
    <w:rsid w:val="008932B1"/>
    <w:rsid w:val="008948F5"/>
    <w:rsid w:val="00894ACC"/>
    <w:rsid w:val="00895E3A"/>
    <w:rsid w:val="00896134"/>
    <w:rsid w:val="00896A4E"/>
    <w:rsid w:val="008A0BC9"/>
    <w:rsid w:val="008A1689"/>
    <w:rsid w:val="008A1A4B"/>
    <w:rsid w:val="008A2067"/>
    <w:rsid w:val="008A25C1"/>
    <w:rsid w:val="008A7343"/>
    <w:rsid w:val="008B0A5E"/>
    <w:rsid w:val="008B7777"/>
    <w:rsid w:val="008C2358"/>
    <w:rsid w:val="008C2CAD"/>
    <w:rsid w:val="008C3A96"/>
    <w:rsid w:val="008C6ECF"/>
    <w:rsid w:val="008D1272"/>
    <w:rsid w:val="008D1BDB"/>
    <w:rsid w:val="008D3233"/>
    <w:rsid w:val="008D481E"/>
    <w:rsid w:val="008D611A"/>
    <w:rsid w:val="008D74A0"/>
    <w:rsid w:val="008D7C53"/>
    <w:rsid w:val="008E0324"/>
    <w:rsid w:val="008E2ACC"/>
    <w:rsid w:val="008E71FE"/>
    <w:rsid w:val="008F17EA"/>
    <w:rsid w:val="008F2B52"/>
    <w:rsid w:val="008F3EF9"/>
    <w:rsid w:val="008F41B0"/>
    <w:rsid w:val="008F45F0"/>
    <w:rsid w:val="008F52C3"/>
    <w:rsid w:val="008F5DAF"/>
    <w:rsid w:val="008F5E24"/>
    <w:rsid w:val="008F6348"/>
    <w:rsid w:val="008F7447"/>
    <w:rsid w:val="00900326"/>
    <w:rsid w:val="00900E21"/>
    <w:rsid w:val="0090337D"/>
    <w:rsid w:val="00904B3E"/>
    <w:rsid w:val="00905A30"/>
    <w:rsid w:val="009076BD"/>
    <w:rsid w:val="0091024B"/>
    <w:rsid w:val="00915136"/>
    <w:rsid w:val="009175AA"/>
    <w:rsid w:val="00925937"/>
    <w:rsid w:val="00927AA4"/>
    <w:rsid w:val="00930ADD"/>
    <w:rsid w:val="00934FFC"/>
    <w:rsid w:val="00935862"/>
    <w:rsid w:val="0093600B"/>
    <w:rsid w:val="00937E90"/>
    <w:rsid w:val="00940C44"/>
    <w:rsid w:val="00947B9F"/>
    <w:rsid w:val="00952CD0"/>
    <w:rsid w:val="00953122"/>
    <w:rsid w:val="00953BC8"/>
    <w:rsid w:val="0095467D"/>
    <w:rsid w:val="00954DEA"/>
    <w:rsid w:val="00955023"/>
    <w:rsid w:val="00955F3C"/>
    <w:rsid w:val="00956CC8"/>
    <w:rsid w:val="00957BC3"/>
    <w:rsid w:val="0096036B"/>
    <w:rsid w:val="00960872"/>
    <w:rsid w:val="0096411A"/>
    <w:rsid w:val="009646DF"/>
    <w:rsid w:val="00965162"/>
    <w:rsid w:val="00965574"/>
    <w:rsid w:val="009672C7"/>
    <w:rsid w:val="00970264"/>
    <w:rsid w:val="00970B8B"/>
    <w:rsid w:val="009745D7"/>
    <w:rsid w:val="0097693B"/>
    <w:rsid w:val="00976FC9"/>
    <w:rsid w:val="009779D5"/>
    <w:rsid w:val="00977FAA"/>
    <w:rsid w:val="009802EA"/>
    <w:rsid w:val="00982107"/>
    <w:rsid w:val="00983D36"/>
    <w:rsid w:val="009854CF"/>
    <w:rsid w:val="00986E2C"/>
    <w:rsid w:val="009904AF"/>
    <w:rsid w:val="009920D3"/>
    <w:rsid w:val="00992D6C"/>
    <w:rsid w:val="009942C6"/>
    <w:rsid w:val="00994DFD"/>
    <w:rsid w:val="009956A1"/>
    <w:rsid w:val="009A40A7"/>
    <w:rsid w:val="009A4331"/>
    <w:rsid w:val="009A6559"/>
    <w:rsid w:val="009A712D"/>
    <w:rsid w:val="009B100F"/>
    <w:rsid w:val="009B20D4"/>
    <w:rsid w:val="009B4E75"/>
    <w:rsid w:val="009B5642"/>
    <w:rsid w:val="009B6F3B"/>
    <w:rsid w:val="009C127D"/>
    <w:rsid w:val="009C1569"/>
    <w:rsid w:val="009C4B02"/>
    <w:rsid w:val="009D0D5E"/>
    <w:rsid w:val="009D1D79"/>
    <w:rsid w:val="009D2039"/>
    <w:rsid w:val="009D2EB7"/>
    <w:rsid w:val="009D51AB"/>
    <w:rsid w:val="009D7616"/>
    <w:rsid w:val="009E2BEC"/>
    <w:rsid w:val="009E3878"/>
    <w:rsid w:val="009E537A"/>
    <w:rsid w:val="009F1FD1"/>
    <w:rsid w:val="009F3CB3"/>
    <w:rsid w:val="009F44AA"/>
    <w:rsid w:val="009F4FA5"/>
    <w:rsid w:val="00A0161B"/>
    <w:rsid w:val="00A019C1"/>
    <w:rsid w:val="00A02CD6"/>
    <w:rsid w:val="00A0326D"/>
    <w:rsid w:val="00A03B33"/>
    <w:rsid w:val="00A05F3B"/>
    <w:rsid w:val="00A10658"/>
    <w:rsid w:val="00A11AED"/>
    <w:rsid w:val="00A12DDC"/>
    <w:rsid w:val="00A13FA0"/>
    <w:rsid w:val="00A155E4"/>
    <w:rsid w:val="00A15E3B"/>
    <w:rsid w:val="00A16C1E"/>
    <w:rsid w:val="00A1766D"/>
    <w:rsid w:val="00A20E53"/>
    <w:rsid w:val="00A20F54"/>
    <w:rsid w:val="00A2163C"/>
    <w:rsid w:val="00A24F9A"/>
    <w:rsid w:val="00A272F8"/>
    <w:rsid w:val="00A3009F"/>
    <w:rsid w:val="00A309CF"/>
    <w:rsid w:val="00A318BD"/>
    <w:rsid w:val="00A32542"/>
    <w:rsid w:val="00A350F0"/>
    <w:rsid w:val="00A35BEC"/>
    <w:rsid w:val="00A41F53"/>
    <w:rsid w:val="00A422B7"/>
    <w:rsid w:val="00A44912"/>
    <w:rsid w:val="00A44B0D"/>
    <w:rsid w:val="00A46892"/>
    <w:rsid w:val="00A50AA0"/>
    <w:rsid w:val="00A50C2C"/>
    <w:rsid w:val="00A535EC"/>
    <w:rsid w:val="00A53A29"/>
    <w:rsid w:val="00A5582E"/>
    <w:rsid w:val="00A56557"/>
    <w:rsid w:val="00A62AC3"/>
    <w:rsid w:val="00A63266"/>
    <w:rsid w:val="00A63CB8"/>
    <w:rsid w:val="00A64816"/>
    <w:rsid w:val="00A658F5"/>
    <w:rsid w:val="00A659A2"/>
    <w:rsid w:val="00A66080"/>
    <w:rsid w:val="00A6686E"/>
    <w:rsid w:val="00A66DE8"/>
    <w:rsid w:val="00A67ECA"/>
    <w:rsid w:val="00A724ED"/>
    <w:rsid w:val="00A76D5B"/>
    <w:rsid w:val="00A76F48"/>
    <w:rsid w:val="00A81C17"/>
    <w:rsid w:val="00A828C0"/>
    <w:rsid w:val="00A82FC2"/>
    <w:rsid w:val="00A859E2"/>
    <w:rsid w:val="00A85CBD"/>
    <w:rsid w:val="00A86E21"/>
    <w:rsid w:val="00A91E8E"/>
    <w:rsid w:val="00A928BC"/>
    <w:rsid w:val="00A971B1"/>
    <w:rsid w:val="00A9795E"/>
    <w:rsid w:val="00AA2305"/>
    <w:rsid w:val="00AA26CA"/>
    <w:rsid w:val="00AA288A"/>
    <w:rsid w:val="00AA2EB4"/>
    <w:rsid w:val="00AA3982"/>
    <w:rsid w:val="00AA6475"/>
    <w:rsid w:val="00AA72FA"/>
    <w:rsid w:val="00AB09D7"/>
    <w:rsid w:val="00AB0AF7"/>
    <w:rsid w:val="00AB2FE1"/>
    <w:rsid w:val="00AB33BA"/>
    <w:rsid w:val="00AB48D7"/>
    <w:rsid w:val="00AB6249"/>
    <w:rsid w:val="00AB6BA2"/>
    <w:rsid w:val="00AC1FD4"/>
    <w:rsid w:val="00AC5D24"/>
    <w:rsid w:val="00AC63E5"/>
    <w:rsid w:val="00AC650C"/>
    <w:rsid w:val="00AC794A"/>
    <w:rsid w:val="00AD0E5A"/>
    <w:rsid w:val="00AD23EC"/>
    <w:rsid w:val="00AE1211"/>
    <w:rsid w:val="00AE1F21"/>
    <w:rsid w:val="00AE2327"/>
    <w:rsid w:val="00AE2930"/>
    <w:rsid w:val="00AE5D19"/>
    <w:rsid w:val="00AE707F"/>
    <w:rsid w:val="00AE73B0"/>
    <w:rsid w:val="00AF0E42"/>
    <w:rsid w:val="00AF11F1"/>
    <w:rsid w:val="00AF1B8C"/>
    <w:rsid w:val="00AF56CA"/>
    <w:rsid w:val="00B006C4"/>
    <w:rsid w:val="00B00F4B"/>
    <w:rsid w:val="00B03255"/>
    <w:rsid w:val="00B0359E"/>
    <w:rsid w:val="00B036AD"/>
    <w:rsid w:val="00B03916"/>
    <w:rsid w:val="00B059A2"/>
    <w:rsid w:val="00B06A11"/>
    <w:rsid w:val="00B078D4"/>
    <w:rsid w:val="00B11583"/>
    <w:rsid w:val="00B11F25"/>
    <w:rsid w:val="00B17A06"/>
    <w:rsid w:val="00B2036D"/>
    <w:rsid w:val="00B2133C"/>
    <w:rsid w:val="00B23516"/>
    <w:rsid w:val="00B2356E"/>
    <w:rsid w:val="00B2601C"/>
    <w:rsid w:val="00B26B20"/>
    <w:rsid w:val="00B27123"/>
    <w:rsid w:val="00B319E8"/>
    <w:rsid w:val="00B3240E"/>
    <w:rsid w:val="00B32A1B"/>
    <w:rsid w:val="00B330BA"/>
    <w:rsid w:val="00B35E0C"/>
    <w:rsid w:val="00B360C5"/>
    <w:rsid w:val="00B3618C"/>
    <w:rsid w:val="00B3796E"/>
    <w:rsid w:val="00B409D6"/>
    <w:rsid w:val="00B43749"/>
    <w:rsid w:val="00B44768"/>
    <w:rsid w:val="00B455AD"/>
    <w:rsid w:val="00B467FC"/>
    <w:rsid w:val="00B46C96"/>
    <w:rsid w:val="00B4720B"/>
    <w:rsid w:val="00B52B81"/>
    <w:rsid w:val="00B52E44"/>
    <w:rsid w:val="00B5381E"/>
    <w:rsid w:val="00B53B09"/>
    <w:rsid w:val="00B5521F"/>
    <w:rsid w:val="00B572F8"/>
    <w:rsid w:val="00B57F5E"/>
    <w:rsid w:val="00B61548"/>
    <w:rsid w:val="00B631BA"/>
    <w:rsid w:val="00B64C3D"/>
    <w:rsid w:val="00B64C58"/>
    <w:rsid w:val="00B64DEA"/>
    <w:rsid w:val="00B65E1F"/>
    <w:rsid w:val="00B665F5"/>
    <w:rsid w:val="00B670DD"/>
    <w:rsid w:val="00B71426"/>
    <w:rsid w:val="00B75071"/>
    <w:rsid w:val="00B7515D"/>
    <w:rsid w:val="00B75DC7"/>
    <w:rsid w:val="00B76CA2"/>
    <w:rsid w:val="00B77608"/>
    <w:rsid w:val="00B80037"/>
    <w:rsid w:val="00B8035B"/>
    <w:rsid w:val="00B80B38"/>
    <w:rsid w:val="00B82792"/>
    <w:rsid w:val="00B85D9B"/>
    <w:rsid w:val="00B93E7B"/>
    <w:rsid w:val="00BA0CCF"/>
    <w:rsid w:val="00BA1999"/>
    <w:rsid w:val="00BA24C2"/>
    <w:rsid w:val="00BA2886"/>
    <w:rsid w:val="00BA2C3C"/>
    <w:rsid w:val="00BA3CDC"/>
    <w:rsid w:val="00BA5CAF"/>
    <w:rsid w:val="00BA7FF4"/>
    <w:rsid w:val="00BB105C"/>
    <w:rsid w:val="00BB1339"/>
    <w:rsid w:val="00BB1566"/>
    <w:rsid w:val="00BB2564"/>
    <w:rsid w:val="00BB4012"/>
    <w:rsid w:val="00BB5FA1"/>
    <w:rsid w:val="00BB6648"/>
    <w:rsid w:val="00BB7CE9"/>
    <w:rsid w:val="00BC1389"/>
    <w:rsid w:val="00BC3A7B"/>
    <w:rsid w:val="00BC41C6"/>
    <w:rsid w:val="00BC50C1"/>
    <w:rsid w:val="00BC5F5E"/>
    <w:rsid w:val="00BC7AC8"/>
    <w:rsid w:val="00BD144E"/>
    <w:rsid w:val="00BD1A87"/>
    <w:rsid w:val="00BD642B"/>
    <w:rsid w:val="00BD7B87"/>
    <w:rsid w:val="00BD7F5D"/>
    <w:rsid w:val="00BE0E16"/>
    <w:rsid w:val="00BE295F"/>
    <w:rsid w:val="00BE3174"/>
    <w:rsid w:val="00BE447C"/>
    <w:rsid w:val="00BE4704"/>
    <w:rsid w:val="00BE6F28"/>
    <w:rsid w:val="00BE7BA1"/>
    <w:rsid w:val="00BF09D9"/>
    <w:rsid w:val="00BF1481"/>
    <w:rsid w:val="00BF1996"/>
    <w:rsid w:val="00BF32BC"/>
    <w:rsid w:val="00BF372A"/>
    <w:rsid w:val="00BF4D5C"/>
    <w:rsid w:val="00BF5AD9"/>
    <w:rsid w:val="00BF5BFE"/>
    <w:rsid w:val="00C01733"/>
    <w:rsid w:val="00C02B87"/>
    <w:rsid w:val="00C03DB5"/>
    <w:rsid w:val="00C04474"/>
    <w:rsid w:val="00C07544"/>
    <w:rsid w:val="00C1245D"/>
    <w:rsid w:val="00C1399B"/>
    <w:rsid w:val="00C15C14"/>
    <w:rsid w:val="00C161B1"/>
    <w:rsid w:val="00C1684E"/>
    <w:rsid w:val="00C20901"/>
    <w:rsid w:val="00C210F0"/>
    <w:rsid w:val="00C26110"/>
    <w:rsid w:val="00C300AF"/>
    <w:rsid w:val="00C30D89"/>
    <w:rsid w:val="00C321F4"/>
    <w:rsid w:val="00C32D01"/>
    <w:rsid w:val="00C33C9D"/>
    <w:rsid w:val="00C36F3F"/>
    <w:rsid w:val="00C37102"/>
    <w:rsid w:val="00C371E5"/>
    <w:rsid w:val="00C371FE"/>
    <w:rsid w:val="00C37C45"/>
    <w:rsid w:val="00C40EA9"/>
    <w:rsid w:val="00C46BE0"/>
    <w:rsid w:val="00C46D39"/>
    <w:rsid w:val="00C50941"/>
    <w:rsid w:val="00C54338"/>
    <w:rsid w:val="00C54510"/>
    <w:rsid w:val="00C55A4B"/>
    <w:rsid w:val="00C60F24"/>
    <w:rsid w:val="00C612E6"/>
    <w:rsid w:val="00C63386"/>
    <w:rsid w:val="00C6408F"/>
    <w:rsid w:val="00C678FE"/>
    <w:rsid w:val="00C72F47"/>
    <w:rsid w:val="00C8092E"/>
    <w:rsid w:val="00C80DF9"/>
    <w:rsid w:val="00C812CE"/>
    <w:rsid w:val="00C81FD4"/>
    <w:rsid w:val="00C840FB"/>
    <w:rsid w:val="00C84DEA"/>
    <w:rsid w:val="00C84EB8"/>
    <w:rsid w:val="00C84EDD"/>
    <w:rsid w:val="00C84EF8"/>
    <w:rsid w:val="00C85563"/>
    <w:rsid w:val="00C85DC5"/>
    <w:rsid w:val="00C9100C"/>
    <w:rsid w:val="00C9218A"/>
    <w:rsid w:val="00C94B41"/>
    <w:rsid w:val="00C94EE9"/>
    <w:rsid w:val="00C95118"/>
    <w:rsid w:val="00C9548B"/>
    <w:rsid w:val="00C95FC3"/>
    <w:rsid w:val="00C97989"/>
    <w:rsid w:val="00CA095D"/>
    <w:rsid w:val="00CA0EB9"/>
    <w:rsid w:val="00CA62C8"/>
    <w:rsid w:val="00CA6A0B"/>
    <w:rsid w:val="00CA6E12"/>
    <w:rsid w:val="00CB078D"/>
    <w:rsid w:val="00CB3EDC"/>
    <w:rsid w:val="00CB5D09"/>
    <w:rsid w:val="00CB5F9B"/>
    <w:rsid w:val="00CB7139"/>
    <w:rsid w:val="00CB7CD5"/>
    <w:rsid w:val="00CC0DE7"/>
    <w:rsid w:val="00CC22D0"/>
    <w:rsid w:val="00CC2F17"/>
    <w:rsid w:val="00CC3149"/>
    <w:rsid w:val="00CC4219"/>
    <w:rsid w:val="00CC4EE1"/>
    <w:rsid w:val="00CD0EB0"/>
    <w:rsid w:val="00CD2091"/>
    <w:rsid w:val="00CD2CD9"/>
    <w:rsid w:val="00CD31AE"/>
    <w:rsid w:val="00CD358C"/>
    <w:rsid w:val="00CD7D5C"/>
    <w:rsid w:val="00CE0125"/>
    <w:rsid w:val="00CE2301"/>
    <w:rsid w:val="00CE537B"/>
    <w:rsid w:val="00CE73A8"/>
    <w:rsid w:val="00CE7608"/>
    <w:rsid w:val="00CF0479"/>
    <w:rsid w:val="00CF0C7D"/>
    <w:rsid w:val="00CF1ADD"/>
    <w:rsid w:val="00CF70E9"/>
    <w:rsid w:val="00CF771F"/>
    <w:rsid w:val="00CF7A68"/>
    <w:rsid w:val="00D05A29"/>
    <w:rsid w:val="00D064BA"/>
    <w:rsid w:val="00D06B24"/>
    <w:rsid w:val="00D06F72"/>
    <w:rsid w:val="00D07631"/>
    <w:rsid w:val="00D15EB1"/>
    <w:rsid w:val="00D167D3"/>
    <w:rsid w:val="00D1680B"/>
    <w:rsid w:val="00D20726"/>
    <w:rsid w:val="00D22D03"/>
    <w:rsid w:val="00D22E00"/>
    <w:rsid w:val="00D2407E"/>
    <w:rsid w:val="00D24755"/>
    <w:rsid w:val="00D2561F"/>
    <w:rsid w:val="00D2671F"/>
    <w:rsid w:val="00D26E73"/>
    <w:rsid w:val="00D271D1"/>
    <w:rsid w:val="00D32B17"/>
    <w:rsid w:val="00D349F2"/>
    <w:rsid w:val="00D40C93"/>
    <w:rsid w:val="00D41B84"/>
    <w:rsid w:val="00D41BA2"/>
    <w:rsid w:val="00D434C9"/>
    <w:rsid w:val="00D43EFE"/>
    <w:rsid w:val="00D47286"/>
    <w:rsid w:val="00D5036D"/>
    <w:rsid w:val="00D51155"/>
    <w:rsid w:val="00D534CA"/>
    <w:rsid w:val="00D57408"/>
    <w:rsid w:val="00D64CC3"/>
    <w:rsid w:val="00D67444"/>
    <w:rsid w:val="00D67C35"/>
    <w:rsid w:val="00D707D0"/>
    <w:rsid w:val="00D80F36"/>
    <w:rsid w:val="00D820FD"/>
    <w:rsid w:val="00D82AC1"/>
    <w:rsid w:val="00D83968"/>
    <w:rsid w:val="00D84016"/>
    <w:rsid w:val="00D85BE2"/>
    <w:rsid w:val="00D8669F"/>
    <w:rsid w:val="00D86DD9"/>
    <w:rsid w:val="00D87175"/>
    <w:rsid w:val="00D87406"/>
    <w:rsid w:val="00D91329"/>
    <w:rsid w:val="00D935B7"/>
    <w:rsid w:val="00D94485"/>
    <w:rsid w:val="00D957F4"/>
    <w:rsid w:val="00D95886"/>
    <w:rsid w:val="00D95A9A"/>
    <w:rsid w:val="00D95E0D"/>
    <w:rsid w:val="00DA06D1"/>
    <w:rsid w:val="00DA4121"/>
    <w:rsid w:val="00DA4DA4"/>
    <w:rsid w:val="00DA5AE0"/>
    <w:rsid w:val="00DA6752"/>
    <w:rsid w:val="00DA74AB"/>
    <w:rsid w:val="00DB1DC9"/>
    <w:rsid w:val="00DB6021"/>
    <w:rsid w:val="00DB6D62"/>
    <w:rsid w:val="00DB756F"/>
    <w:rsid w:val="00DC1968"/>
    <w:rsid w:val="00DC1D89"/>
    <w:rsid w:val="00DC274B"/>
    <w:rsid w:val="00DC2B97"/>
    <w:rsid w:val="00DC45E1"/>
    <w:rsid w:val="00DC4EA3"/>
    <w:rsid w:val="00DD0692"/>
    <w:rsid w:val="00DD6940"/>
    <w:rsid w:val="00DD6D41"/>
    <w:rsid w:val="00DD7081"/>
    <w:rsid w:val="00DD72C4"/>
    <w:rsid w:val="00DE0394"/>
    <w:rsid w:val="00DE0D58"/>
    <w:rsid w:val="00DE3D28"/>
    <w:rsid w:val="00DE570A"/>
    <w:rsid w:val="00DE7377"/>
    <w:rsid w:val="00DF00AD"/>
    <w:rsid w:val="00DF0D6A"/>
    <w:rsid w:val="00DF2B8D"/>
    <w:rsid w:val="00DF58CF"/>
    <w:rsid w:val="00DF5EB4"/>
    <w:rsid w:val="00DF78E2"/>
    <w:rsid w:val="00E00956"/>
    <w:rsid w:val="00E023C1"/>
    <w:rsid w:val="00E03F14"/>
    <w:rsid w:val="00E0540F"/>
    <w:rsid w:val="00E054D9"/>
    <w:rsid w:val="00E0551B"/>
    <w:rsid w:val="00E0652B"/>
    <w:rsid w:val="00E079EA"/>
    <w:rsid w:val="00E117CF"/>
    <w:rsid w:val="00E120D8"/>
    <w:rsid w:val="00E1291C"/>
    <w:rsid w:val="00E14936"/>
    <w:rsid w:val="00E179B8"/>
    <w:rsid w:val="00E208BB"/>
    <w:rsid w:val="00E21246"/>
    <w:rsid w:val="00E21940"/>
    <w:rsid w:val="00E24809"/>
    <w:rsid w:val="00E2547B"/>
    <w:rsid w:val="00E263D6"/>
    <w:rsid w:val="00E27D5A"/>
    <w:rsid w:val="00E27DAA"/>
    <w:rsid w:val="00E27F4A"/>
    <w:rsid w:val="00E317AD"/>
    <w:rsid w:val="00E34722"/>
    <w:rsid w:val="00E423CC"/>
    <w:rsid w:val="00E43210"/>
    <w:rsid w:val="00E4681A"/>
    <w:rsid w:val="00E479A3"/>
    <w:rsid w:val="00E534B7"/>
    <w:rsid w:val="00E54D8F"/>
    <w:rsid w:val="00E5527F"/>
    <w:rsid w:val="00E56FD6"/>
    <w:rsid w:val="00E571A3"/>
    <w:rsid w:val="00E6371F"/>
    <w:rsid w:val="00E65996"/>
    <w:rsid w:val="00E66499"/>
    <w:rsid w:val="00E70D65"/>
    <w:rsid w:val="00E719A1"/>
    <w:rsid w:val="00E73D7B"/>
    <w:rsid w:val="00E73DCD"/>
    <w:rsid w:val="00E75EE8"/>
    <w:rsid w:val="00E80353"/>
    <w:rsid w:val="00E81F21"/>
    <w:rsid w:val="00E911AA"/>
    <w:rsid w:val="00E93484"/>
    <w:rsid w:val="00E95781"/>
    <w:rsid w:val="00E966E2"/>
    <w:rsid w:val="00EA02FF"/>
    <w:rsid w:val="00EA0E32"/>
    <w:rsid w:val="00EA1692"/>
    <w:rsid w:val="00EA1A72"/>
    <w:rsid w:val="00EA5124"/>
    <w:rsid w:val="00EA5EDE"/>
    <w:rsid w:val="00EB14B6"/>
    <w:rsid w:val="00EB15C0"/>
    <w:rsid w:val="00EB2E47"/>
    <w:rsid w:val="00EB56FB"/>
    <w:rsid w:val="00EB5E1A"/>
    <w:rsid w:val="00EB5FB3"/>
    <w:rsid w:val="00EC2942"/>
    <w:rsid w:val="00EC783B"/>
    <w:rsid w:val="00ED0791"/>
    <w:rsid w:val="00ED6D26"/>
    <w:rsid w:val="00ED76BB"/>
    <w:rsid w:val="00EE0A3A"/>
    <w:rsid w:val="00EE0A7B"/>
    <w:rsid w:val="00EE31F6"/>
    <w:rsid w:val="00EE4E1E"/>
    <w:rsid w:val="00EE5365"/>
    <w:rsid w:val="00EE5F6E"/>
    <w:rsid w:val="00EE6083"/>
    <w:rsid w:val="00EE6EFB"/>
    <w:rsid w:val="00EE7724"/>
    <w:rsid w:val="00EE794F"/>
    <w:rsid w:val="00EE7F8C"/>
    <w:rsid w:val="00EF279A"/>
    <w:rsid w:val="00EF2871"/>
    <w:rsid w:val="00EF33D8"/>
    <w:rsid w:val="00EF33E1"/>
    <w:rsid w:val="00EF3C66"/>
    <w:rsid w:val="00EF44BB"/>
    <w:rsid w:val="00EF66B2"/>
    <w:rsid w:val="00EF6794"/>
    <w:rsid w:val="00EF71F6"/>
    <w:rsid w:val="00EF7772"/>
    <w:rsid w:val="00F0043C"/>
    <w:rsid w:val="00F00F82"/>
    <w:rsid w:val="00F04629"/>
    <w:rsid w:val="00F058FB"/>
    <w:rsid w:val="00F12F8E"/>
    <w:rsid w:val="00F1356A"/>
    <w:rsid w:val="00F16B9F"/>
    <w:rsid w:val="00F17F1C"/>
    <w:rsid w:val="00F234AC"/>
    <w:rsid w:val="00F24B3B"/>
    <w:rsid w:val="00F259D5"/>
    <w:rsid w:val="00F27ED6"/>
    <w:rsid w:val="00F27F8D"/>
    <w:rsid w:val="00F30C83"/>
    <w:rsid w:val="00F35086"/>
    <w:rsid w:val="00F40021"/>
    <w:rsid w:val="00F40999"/>
    <w:rsid w:val="00F40A36"/>
    <w:rsid w:val="00F439C4"/>
    <w:rsid w:val="00F4543B"/>
    <w:rsid w:val="00F4699E"/>
    <w:rsid w:val="00F522B3"/>
    <w:rsid w:val="00F52415"/>
    <w:rsid w:val="00F55561"/>
    <w:rsid w:val="00F5791B"/>
    <w:rsid w:val="00F643F6"/>
    <w:rsid w:val="00F66895"/>
    <w:rsid w:val="00F708DC"/>
    <w:rsid w:val="00F72BE0"/>
    <w:rsid w:val="00F7430E"/>
    <w:rsid w:val="00F755E3"/>
    <w:rsid w:val="00F763D2"/>
    <w:rsid w:val="00F84785"/>
    <w:rsid w:val="00F86AA7"/>
    <w:rsid w:val="00F8770E"/>
    <w:rsid w:val="00F90DDB"/>
    <w:rsid w:val="00F91805"/>
    <w:rsid w:val="00F92AB3"/>
    <w:rsid w:val="00F93551"/>
    <w:rsid w:val="00F95D75"/>
    <w:rsid w:val="00F96EA1"/>
    <w:rsid w:val="00FA2B3F"/>
    <w:rsid w:val="00FA3E93"/>
    <w:rsid w:val="00FA7101"/>
    <w:rsid w:val="00FB11B4"/>
    <w:rsid w:val="00FB2217"/>
    <w:rsid w:val="00FB38F3"/>
    <w:rsid w:val="00FB57F4"/>
    <w:rsid w:val="00FB6DA4"/>
    <w:rsid w:val="00FC4436"/>
    <w:rsid w:val="00FC4F8F"/>
    <w:rsid w:val="00FC6DC2"/>
    <w:rsid w:val="00FD0054"/>
    <w:rsid w:val="00FD18B8"/>
    <w:rsid w:val="00FD2359"/>
    <w:rsid w:val="00FD3E75"/>
    <w:rsid w:val="00FD4C3B"/>
    <w:rsid w:val="00FD6FB7"/>
    <w:rsid w:val="00FE0E29"/>
    <w:rsid w:val="00FE0F27"/>
    <w:rsid w:val="00FE12AD"/>
    <w:rsid w:val="00FE43AF"/>
    <w:rsid w:val="00FE5069"/>
    <w:rsid w:val="00FE59DE"/>
    <w:rsid w:val="00FF1BBD"/>
    <w:rsid w:val="00FF1ECA"/>
    <w:rsid w:val="00FF30BD"/>
    <w:rsid w:val="00FF3BEA"/>
    <w:rsid w:val="00FF7B5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EE1B4A4"/>
  <w15:docId w15:val="{351BCB93-FA41-498C-A0FD-A3FCF7B59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4"/>
        <w:szCs w:val="24"/>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F7A68"/>
    <w:rPr>
      <w:rFonts w:ascii="Times New Roman" w:hAnsi="Times New Roman"/>
    </w:rPr>
  </w:style>
  <w:style w:type="paragraph" w:styleId="Otsikko1">
    <w:name w:val="heading 1"/>
    <w:aliases w:val="Numeroitu pääotsikko"/>
    <w:basedOn w:val="Normaali"/>
    <w:next w:val="Normaali"/>
    <w:link w:val="Otsikko1Char"/>
    <w:autoRedefine/>
    <w:uiPriority w:val="9"/>
    <w:qFormat/>
    <w:rsid w:val="007200DC"/>
    <w:pPr>
      <w:outlineLvl w:val="0"/>
    </w:pPr>
    <w:rPr>
      <w:sz w:val="28"/>
    </w:rPr>
  </w:style>
  <w:style w:type="paragraph" w:styleId="Otsikko2">
    <w:name w:val="heading 2"/>
    <w:basedOn w:val="Normaali"/>
    <w:next w:val="Normaali"/>
    <w:link w:val="Otsikko2Char"/>
    <w:autoRedefine/>
    <w:uiPriority w:val="9"/>
    <w:unhideWhenUsed/>
    <w:qFormat/>
    <w:rsid w:val="00E0652B"/>
    <w:pPr>
      <w:keepNext/>
      <w:keepLines/>
      <w:numPr>
        <w:numId w:val="3"/>
      </w:numPr>
      <w:spacing w:before="200"/>
      <w:outlineLvl w:val="1"/>
    </w:pPr>
    <w:rPr>
      <w:rFonts w:eastAsia="MS PGothic" w:cstheme="majorBidi"/>
      <w:b/>
      <w:bCs/>
      <w:color w:val="000000" w:themeColor="text1"/>
      <w:sz w:val="26"/>
      <w:szCs w:val="26"/>
    </w:rPr>
  </w:style>
  <w:style w:type="paragraph" w:styleId="Otsikko3">
    <w:name w:val="heading 3"/>
    <w:basedOn w:val="Normaali"/>
    <w:next w:val="Normaali"/>
    <w:link w:val="Otsikko3Char"/>
    <w:autoRedefine/>
    <w:uiPriority w:val="9"/>
    <w:unhideWhenUsed/>
    <w:qFormat/>
    <w:rsid w:val="00E0652B"/>
    <w:pPr>
      <w:keepNext/>
      <w:keepLines/>
      <w:numPr>
        <w:ilvl w:val="1"/>
        <w:numId w:val="3"/>
      </w:numPr>
      <w:spacing w:before="200" w:line="276" w:lineRule="auto"/>
      <w:outlineLvl w:val="2"/>
    </w:pPr>
    <w:rPr>
      <w:rFonts w:eastAsiaTheme="majorEastAsia" w:cstheme="majorBidi"/>
      <w:b/>
      <w:bCs/>
      <w:color w:val="000000" w:themeColor="text1"/>
    </w:rPr>
  </w:style>
  <w:style w:type="paragraph" w:styleId="Otsikko4">
    <w:name w:val="heading 4"/>
    <w:basedOn w:val="Normaali"/>
    <w:next w:val="Normaali"/>
    <w:link w:val="Otsikko4Char"/>
    <w:uiPriority w:val="9"/>
    <w:unhideWhenUsed/>
    <w:qFormat/>
    <w:rsid w:val="00A35BEC"/>
    <w:pPr>
      <w:keepNext/>
      <w:keepLines/>
      <w:spacing w:before="200"/>
      <w:outlineLvl w:val="3"/>
    </w:pPr>
    <w:rPr>
      <w:rFonts w:asciiTheme="majorHAnsi" w:eastAsiaTheme="majorEastAsia" w:hAnsiTheme="majorHAnsi" w:cstheme="majorBidi"/>
      <w:b/>
      <w:bCs/>
      <w:i/>
      <w:iCs/>
      <w:color w:val="4F81BD" w:themeColor="accent1"/>
    </w:rPr>
  </w:style>
  <w:style w:type="paragraph" w:styleId="Otsikko5">
    <w:name w:val="heading 5"/>
    <w:basedOn w:val="Normaali"/>
    <w:next w:val="Normaali"/>
    <w:link w:val="Otsikko5Char"/>
    <w:uiPriority w:val="9"/>
    <w:semiHidden/>
    <w:unhideWhenUsed/>
    <w:qFormat/>
    <w:rsid w:val="00A35BEC"/>
    <w:pPr>
      <w:keepNext/>
      <w:keepLines/>
      <w:spacing w:before="200"/>
      <w:outlineLvl w:val="4"/>
    </w:pPr>
    <w:rPr>
      <w:rFonts w:asciiTheme="majorHAnsi" w:eastAsiaTheme="majorEastAsia" w:hAnsiTheme="majorHAnsi" w:cstheme="majorBidi"/>
      <w:color w:val="243F60" w:themeColor="accent1" w:themeShade="7F"/>
    </w:rPr>
  </w:style>
  <w:style w:type="paragraph" w:styleId="Otsikko6">
    <w:name w:val="heading 6"/>
    <w:basedOn w:val="Normaali"/>
    <w:next w:val="Normaali"/>
    <w:link w:val="Otsikko6Char"/>
    <w:uiPriority w:val="9"/>
    <w:semiHidden/>
    <w:unhideWhenUsed/>
    <w:qFormat/>
    <w:rsid w:val="00A35BEC"/>
    <w:pPr>
      <w:keepNext/>
      <w:keepLines/>
      <w:spacing w:before="200"/>
      <w:outlineLvl w:val="5"/>
    </w:pPr>
    <w:rPr>
      <w:rFonts w:asciiTheme="majorHAnsi" w:eastAsiaTheme="majorEastAsia" w:hAnsiTheme="majorHAnsi" w:cstheme="majorBidi"/>
      <w:i/>
      <w:iCs/>
      <w:color w:val="243F60" w:themeColor="accent1" w:themeShade="7F"/>
    </w:rPr>
  </w:style>
  <w:style w:type="paragraph" w:styleId="Otsikko7">
    <w:name w:val="heading 7"/>
    <w:basedOn w:val="Normaali"/>
    <w:next w:val="Normaali"/>
    <w:link w:val="Otsikko7Char"/>
    <w:uiPriority w:val="9"/>
    <w:semiHidden/>
    <w:unhideWhenUsed/>
    <w:qFormat/>
    <w:rsid w:val="00A35BEC"/>
    <w:pPr>
      <w:keepNext/>
      <w:keepLines/>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unhideWhenUsed/>
    <w:qFormat/>
    <w:rsid w:val="00A35BE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unhideWhenUsed/>
    <w:qFormat/>
    <w:rsid w:val="00A35BE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7F28DF"/>
    <w:rPr>
      <w:rFonts w:ascii="Tahoma" w:hAnsi="Tahoma" w:cs="Tahoma"/>
      <w:sz w:val="16"/>
      <w:szCs w:val="16"/>
    </w:rPr>
  </w:style>
  <w:style w:type="character" w:customStyle="1" w:styleId="SelitetekstiChar">
    <w:name w:val="Seliteteksti Char"/>
    <w:basedOn w:val="Kappaleenoletusfontti"/>
    <w:link w:val="Seliteteksti"/>
    <w:uiPriority w:val="99"/>
    <w:semiHidden/>
    <w:rsid w:val="007F28DF"/>
    <w:rPr>
      <w:rFonts w:ascii="Tahoma" w:hAnsi="Tahoma" w:cs="Tahoma"/>
      <w:sz w:val="16"/>
      <w:szCs w:val="16"/>
    </w:rPr>
  </w:style>
  <w:style w:type="paragraph" w:styleId="NormaaliWWW">
    <w:name w:val="Normal (Web)"/>
    <w:basedOn w:val="Normaali"/>
    <w:uiPriority w:val="99"/>
    <w:unhideWhenUsed/>
    <w:rsid w:val="007F28DF"/>
    <w:pPr>
      <w:spacing w:before="100" w:beforeAutospacing="1" w:after="100" w:afterAutospacing="1"/>
    </w:pPr>
  </w:style>
  <w:style w:type="paragraph" w:styleId="Luettelokappale">
    <w:name w:val="List Paragraph"/>
    <w:basedOn w:val="Normaali"/>
    <w:uiPriority w:val="34"/>
    <w:qFormat/>
    <w:rsid w:val="007F28DF"/>
    <w:pPr>
      <w:ind w:left="720"/>
      <w:contextualSpacing/>
    </w:pPr>
  </w:style>
  <w:style w:type="table" w:styleId="TaulukkoRuudukko">
    <w:name w:val="Table Grid"/>
    <w:basedOn w:val="Normaalitaulukko"/>
    <w:uiPriority w:val="59"/>
    <w:rsid w:val="00E96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aaleavarjostus">
    <w:name w:val="Light Shading"/>
    <w:basedOn w:val="Normaalitaulukko"/>
    <w:uiPriority w:val="60"/>
    <w:rsid w:val="00E966E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Otsikko2Char">
    <w:name w:val="Otsikko 2 Char"/>
    <w:basedOn w:val="Kappaleenoletusfontti"/>
    <w:link w:val="Otsikko2"/>
    <w:uiPriority w:val="9"/>
    <w:rsid w:val="00E0652B"/>
    <w:rPr>
      <w:rFonts w:ascii="Times New Roman" w:eastAsia="MS PGothic" w:hAnsi="Times New Roman" w:cstheme="majorBidi"/>
      <w:b/>
      <w:bCs/>
      <w:color w:val="000000" w:themeColor="text1"/>
      <w:sz w:val="26"/>
      <w:szCs w:val="26"/>
    </w:rPr>
  </w:style>
  <w:style w:type="paragraph" w:styleId="Alaotsikko">
    <w:name w:val="Subtitle"/>
    <w:basedOn w:val="Normaali"/>
    <w:next w:val="Normaali"/>
    <w:link w:val="AlaotsikkoChar"/>
    <w:autoRedefine/>
    <w:uiPriority w:val="11"/>
    <w:qFormat/>
    <w:rsid w:val="00800398"/>
    <w:pPr>
      <w:numPr>
        <w:ilvl w:val="1"/>
        <w:numId w:val="2"/>
      </w:numPr>
    </w:pPr>
    <w:rPr>
      <w:rFonts w:eastAsiaTheme="majorEastAsia" w:cstheme="majorHAnsi"/>
      <w:b/>
      <w:iCs/>
      <w:color w:val="000000" w:themeColor="text1"/>
      <w:spacing w:val="15"/>
    </w:rPr>
  </w:style>
  <w:style w:type="character" w:customStyle="1" w:styleId="AlaotsikkoChar">
    <w:name w:val="Alaotsikko Char"/>
    <w:basedOn w:val="Kappaleenoletusfontti"/>
    <w:link w:val="Alaotsikko"/>
    <w:uiPriority w:val="11"/>
    <w:rsid w:val="00800398"/>
    <w:rPr>
      <w:rFonts w:ascii="Times New Roman" w:eastAsiaTheme="majorEastAsia" w:hAnsi="Times New Roman" w:cstheme="majorHAnsi"/>
      <w:b/>
      <w:iCs/>
      <w:color w:val="000000" w:themeColor="text1"/>
      <w:spacing w:val="15"/>
    </w:rPr>
  </w:style>
  <w:style w:type="character" w:styleId="Kommentinviite">
    <w:name w:val="annotation reference"/>
    <w:basedOn w:val="Kappaleenoletusfontti"/>
    <w:unhideWhenUsed/>
    <w:rsid w:val="00D271D1"/>
    <w:rPr>
      <w:sz w:val="16"/>
      <w:szCs w:val="16"/>
    </w:rPr>
  </w:style>
  <w:style w:type="paragraph" w:styleId="Kommentinteksti">
    <w:name w:val="annotation text"/>
    <w:basedOn w:val="Normaali"/>
    <w:link w:val="KommentintekstiChar"/>
    <w:uiPriority w:val="99"/>
    <w:semiHidden/>
    <w:unhideWhenUsed/>
    <w:rsid w:val="00D271D1"/>
    <w:rPr>
      <w:sz w:val="20"/>
      <w:szCs w:val="20"/>
    </w:rPr>
  </w:style>
  <w:style w:type="character" w:customStyle="1" w:styleId="KommentintekstiChar">
    <w:name w:val="Kommentin teksti Char"/>
    <w:basedOn w:val="Kappaleenoletusfontti"/>
    <w:link w:val="Kommentinteksti"/>
    <w:uiPriority w:val="99"/>
    <w:semiHidden/>
    <w:rsid w:val="00D271D1"/>
  </w:style>
  <w:style w:type="paragraph" w:styleId="Kommentinotsikko">
    <w:name w:val="annotation subject"/>
    <w:basedOn w:val="Kommentinteksti"/>
    <w:next w:val="Kommentinteksti"/>
    <w:link w:val="KommentinotsikkoChar"/>
    <w:uiPriority w:val="99"/>
    <w:semiHidden/>
    <w:unhideWhenUsed/>
    <w:rsid w:val="00D271D1"/>
    <w:rPr>
      <w:b/>
      <w:bCs/>
    </w:rPr>
  </w:style>
  <w:style w:type="character" w:customStyle="1" w:styleId="KommentinotsikkoChar">
    <w:name w:val="Kommentin otsikko Char"/>
    <w:basedOn w:val="KommentintekstiChar"/>
    <w:link w:val="Kommentinotsikko"/>
    <w:uiPriority w:val="99"/>
    <w:semiHidden/>
    <w:rsid w:val="00D271D1"/>
    <w:rPr>
      <w:b/>
      <w:bCs/>
    </w:rPr>
  </w:style>
  <w:style w:type="paragraph" w:customStyle="1" w:styleId="STMpytkirja">
    <w:name w:val="STM pöytäkirja"/>
    <w:basedOn w:val="Normaali"/>
    <w:next w:val="Normaali"/>
    <w:rsid w:val="00A67ECA"/>
    <w:pPr>
      <w:numPr>
        <w:numId w:val="1"/>
      </w:numPr>
      <w:spacing w:before="240" w:after="240"/>
    </w:pPr>
    <w:rPr>
      <w:sz w:val="22"/>
      <w:szCs w:val="20"/>
      <w:lang w:eastAsia="en-US"/>
    </w:rPr>
  </w:style>
  <w:style w:type="character" w:customStyle="1" w:styleId="Otsikko1Char">
    <w:name w:val="Otsikko 1 Char"/>
    <w:aliases w:val="Numeroitu pääotsikko Char"/>
    <w:basedOn w:val="Kappaleenoletusfontti"/>
    <w:link w:val="Otsikko1"/>
    <w:uiPriority w:val="9"/>
    <w:rsid w:val="007200DC"/>
    <w:rPr>
      <w:rFonts w:ascii="Times New Roman" w:hAnsi="Times New Roman"/>
      <w:sz w:val="28"/>
    </w:rPr>
  </w:style>
  <w:style w:type="paragraph" w:styleId="Sisllysluettelonotsikko">
    <w:name w:val="TOC Heading"/>
    <w:basedOn w:val="Otsikko1"/>
    <w:next w:val="Normaali"/>
    <w:uiPriority w:val="39"/>
    <w:unhideWhenUsed/>
    <w:qFormat/>
    <w:rsid w:val="0036566F"/>
    <w:pPr>
      <w:spacing w:line="276" w:lineRule="auto"/>
      <w:outlineLvl w:val="9"/>
    </w:pPr>
    <w:rPr>
      <w:rFonts w:asciiTheme="majorHAnsi" w:hAnsiTheme="majorHAnsi"/>
      <w:color w:val="365F91" w:themeColor="accent1" w:themeShade="BF"/>
    </w:rPr>
  </w:style>
  <w:style w:type="paragraph" w:styleId="Sisluet1">
    <w:name w:val="toc 1"/>
    <w:basedOn w:val="Normaali"/>
    <w:next w:val="Normaali"/>
    <w:autoRedefine/>
    <w:uiPriority w:val="39"/>
    <w:unhideWhenUsed/>
    <w:qFormat/>
    <w:rsid w:val="0036566F"/>
    <w:pPr>
      <w:spacing w:after="100"/>
    </w:pPr>
  </w:style>
  <w:style w:type="character" w:styleId="Hyperlinkki">
    <w:name w:val="Hyperlink"/>
    <w:basedOn w:val="Kappaleenoletusfontti"/>
    <w:uiPriority w:val="99"/>
    <w:unhideWhenUsed/>
    <w:rsid w:val="0036566F"/>
    <w:rPr>
      <w:color w:val="0000FF" w:themeColor="hyperlink"/>
      <w:u w:val="single"/>
    </w:rPr>
  </w:style>
  <w:style w:type="paragraph" w:styleId="Yltunniste">
    <w:name w:val="header"/>
    <w:basedOn w:val="Normaali"/>
    <w:link w:val="YltunnisteChar"/>
    <w:uiPriority w:val="99"/>
    <w:unhideWhenUsed/>
    <w:rsid w:val="00051211"/>
    <w:pPr>
      <w:tabs>
        <w:tab w:val="center" w:pos="4819"/>
        <w:tab w:val="right" w:pos="9638"/>
      </w:tabs>
    </w:pPr>
  </w:style>
  <w:style w:type="character" w:customStyle="1" w:styleId="YltunnisteChar">
    <w:name w:val="Ylätunniste Char"/>
    <w:basedOn w:val="Kappaleenoletusfontti"/>
    <w:link w:val="Yltunniste"/>
    <w:uiPriority w:val="99"/>
    <w:rsid w:val="00051211"/>
    <w:rPr>
      <w:sz w:val="24"/>
      <w:szCs w:val="24"/>
    </w:rPr>
  </w:style>
  <w:style w:type="paragraph" w:styleId="Alatunniste">
    <w:name w:val="footer"/>
    <w:basedOn w:val="Normaali"/>
    <w:link w:val="AlatunnisteChar"/>
    <w:uiPriority w:val="99"/>
    <w:unhideWhenUsed/>
    <w:rsid w:val="00051211"/>
    <w:pPr>
      <w:tabs>
        <w:tab w:val="center" w:pos="4819"/>
        <w:tab w:val="right" w:pos="9638"/>
      </w:tabs>
    </w:pPr>
  </w:style>
  <w:style w:type="character" w:customStyle="1" w:styleId="AlatunnisteChar">
    <w:name w:val="Alatunniste Char"/>
    <w:basedOn w:val="Kappaleenoletusfontti"/>
    <w:link w:val="Alatunniste"/>
    <w:uiPriority w:val="99"/>
    <w:rsid w:val="00051211"/>
    <w:rPr>
      <w:sz w:val="24"/>
      <w:szCs w:val="24"/>
    </w:rPr>
  </w:style>
  <w:style w:type="paragraph" w:customStyle="1" w:styleId="Vliotsikko">
    <w:name w:val="Väliotsikko"/>
    <w:basedOn w:val="Otsikko2"/>
    <w:qFormat/>
    <w:rsid w:val="00AA288A"/>
    <w:pPr>
      <w:spacing w:line="276" w:lineRule="auto"/>
    </w:pPr>
    <w:rPr>
      <w:color w:val="auto"/>
      <w:sz w:val="24"/>
      <w:lang w:eastAsia="en-US"/>
    </w:rPr>
  </w:style>
  <w:style w:type="character" w:customStyle="1" w:styleId="Otsikko3Char">
    <w:name w:val="Otsikko 3 Char"/>
    <w:basedOn w:val="Kappaleenoletusfontti"/>
    <w:link w:val="Otsikko3"/>
    <w:uiPriority w:val="9"/>
    <w:rsid w:val="00E0652B"/>
    <w:rPr>
      <w:rFonts w:ascii="Times New Roman" w:eastAsiaTheme="majorEastAsia" w:hAnsi="Times New Roman" w:cstheme="majorBidi"/>
      <w:b/>
      <w:bCs/>
      <w:color w:val="000000" w:themeColor="text1"/>
    </w:rPr>
  </w:style>
  <w:style w:type="character" w:customStyle="1" w:styleId="Otsikko4Char">
    <w:name w:val="Otsikko 4 Char"/>
    <w:basedOn w:val="Kappaleenoletusfontti"/>
    <w:link w:val="Otsikko4"/>
    <w:uiPriority w:val="9"/>
    <w:rsid w:val="00A35BEC"/>
    <w:rPr>
      <w:rFonts w:asciiTheme="majorHAnsi" w:eastAsiaTheme="majorEastAsia" w:hAnsiTheme="majorHAnsi" w:cstheme="majorBidi"/>
      <w:b/>
      <w:bCs/>
      <w:i/>
      <w:iCs/>
      <w:color w:val="4F81BD" w:themeColor="accent1"/>
    </w:rPr>
  </w:style>
  <w:style w:type="character" w:customStyle="1" w:styleId="Otsikko5Char">
    <w:name w:val="Otsikko 5 Char"/>
    <w:basedOn w:val="Kappaleenoletusfontti"/>
    <w:link w:val="Otsikko5"/>
    <w:uiPriority w:val="9"/>
    <w:semiHidden/>
    <w:rsid w:val="00A35BEC"/>
    <w:rPr>
      <w:rFonts w:asciiTheme="majorHAnsi" w:eastAsiaTheme="majorEastAsia" w:hAnsiTheme="majorHAnsi" w:cstheme="majorBidi"/>
      <w:color w:val="243F60" w:themeColor="accent1" w:themeShade="7F"/>
    </w:rPr>
  </w:style>
  <w:style w:type="character" w:customStyle="1" w:styleId="Otsikko6Char">
    <w:name w:val="Otsikko 6 Char"/>
    <w:basedOn w:val="Kappaleenoletusfontti"/>
    <w:link w:val="Otsikko6"/>
    <w:uiPriority w:val="9"/>
    <w:semiHidden/>
    <w:rsid w:val="00A35BEC"/>
    <w:rPr>
      <w:rFonts w:asciiTheme="majorHAnsi" w:eastAsiaTheme="majorEastAsia" w:hAnsiTheme="majorHAnsi" w:cstheme="majorBidi"/>
      <w:i/>
      <w:iCs/>
      <w:color w:val="243F60" w:themeColor="accent1" w:themeShade="7F"/>
    </w:rPr>
  </w:style>
  <w:style w:type="character" w:customStyle="1" w:styleId="Otsikko7Char">
    <w:name w:val="Otsikko 7 Char"/>
    <w:basedOn w:val="Kappaleenoletusfontti"/>
    <w:link w:val="Otsikko7"/>
    <w:uiPriority w:val="9"/>
    <w:semiHidden/>
    <w:rsid w:val="00A35BEC"/>
    <w:rPr>
      <w:rFonts w:asciiTheme="majorHAnsi" w:eastAsiaTheme="majorEastAsia" w:hAnsiTheme="majorHAnsi" w:cstheme="majorBidi"/>
      <w:i/>
      <w:iCs/>
      <w:color w:val="404040" w:themeColor="text1" w:themeTint="BF"/>
    </w:rPr>
  </w:style>
  <w:style w:type="character" w:customStyle="1" w:styleId="Otsikko8Char">
    <w:name w:val="Otsikko 8 Char"/>
    <w:basedOn w:val="Kappaleenoletusfontti"/>
    <w:link w:val="Otsikko8"/>
    <w:uiPriority w:val="9"/>
    <w:semiHidden/>
    <w:rsid w:val="00A35BEC"/>
    <w:rPr>
      <w:rFonts w:asciiTheme="majorHAnsi" w:eastAsiaTheme="majorEastAsia" w:hAnsiTheme="majorHAnsi"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A35BEC"/>
    <w:rPr>
      <w:rFonts w:asciiTheme="majorHAnsi" w:eastAsiaTheme="majorEastAsia" w:hAnsiTheme="majorHAnsi" w:cstheme="majorBidi"/>
      <w:i/>
      <w:iCs/>
      <w:color w:val="404040" w:themeColor="text1" w:themeTint="BF"/>
      <w:sz w:val="20"/>
      <w:szCs w:val="20"/>
    </w:rPr>
  </w:style>
  <w:style w:type="paragraph" w:styleId="Sisluet2">
    <w:name w:val="toc 2"/>
    <w:basedOn w:val="Normaali"/>
    <w:next w:val="Normaali"/>
    <w:autoRedefine/>
    <w:uiPriority w:val="39"/>
    <w:unhideWhenUsed/>
    <w:qFormat/>
    <w:rsid w:val="001D5536"/>
    <w:pPr>
      <w:tabs>
        <w:tab w:val="left" w:pos="880"/>
        <w:tab w:val="right" w:leader="dot" w:pos="9628"/>
      </w:tabs>
      <w:spacing w:after="100"/>
    </w:pPr>
  </w:style>
  <w:style w:type="paragraph" w:styleId="Alaviitteenteksti">
    <w:name w:val="footnote text"/>
    <w:basedOn w:val="Normaali"/>
    <w:link w:val="AlaviitteentekstiChar"/>
    <w:uiPriority w:val="99"/>
    <w:unhideWhenUsed/>
    <w:rsid w:val="00B85D9B"/>
    <w:rPr>
      <w:rFonts w:cs="Times New Roman"/>
      <w:bCs/>
      <w:sz w:val="20"/>
      <w:szCs w:val="20"/>
    </w:rPr>
  </w:style>
  <w:style w:type="character" w:customStyle="1" w:styleId="AlaviitteentekstiChar">
    <w:name w:val="Alaviitteen teksti Char"/>
    <w:basedOn w:val="Kappaleenoletusfontti"/>
    <w:link w:val="Alaviitteenteksti"/>
    <w:uiPriority w:val="99"/>
    <w:rsid w:val="00B85D9B"/>
    <w:rPr>
      <w:rFonts w:ascii="Times New Roman" w:hAnsi="Times New Roman" w:cs="Times New Roman"/>
      <w:bCs/>
      <w:sz w:val="20"/>
      <w:szCs w:val="20"/>
    </w:rPr>
  </w:style>
  <w:style w:type="character" w:styleId="Alaviitteenviite">
    <w:name w:val="footnote reference"/>
    <w:basedOn w:val="Kappaleenoletusfontti"/>
    <w:uiPriority w:val="99"/>
    <w:semiHidden/>
    <w:unhideWhenUsed/>
    <w:rsid w:val="00B85D9B"/>
    <w:rPr>
      <w:vertAlign w:val="superscript"/>
    </w:rPr>
  </w:style>
  <w:style w:type="paragraph" w:styleId="Muutos">
    <w:name w:val="Revision"/>
    <w:hidden/>
    <w:uiPriority w:val="99"/>
    <w:semiHidden/>
    <w:rsid w:val="00B85D9B"/>
  </w:style>
  <w:style w:type="character" w:styleId="Sivunumero">
    <w:name w:val="page number"/>
    <w:basedOn w:val="Kappaleenoletusfontti"/>
    <w:semiHidden/>
    <w:rsid w:val="00382E97"/>
  </w:style>
  <w:style w:type="paragraph" w:customStyle="1" w:styleId="STMnormaali">
    <w:name w:val="STM normaali"/>
    <w:rsid w:val="00382E97"/>
    <w:rPr>
      <w:rFonts w:ascii="Times New Roman" w:hAnsi="Times New Roman" w:cs="Times New Roman"/>
      <w:sz w:val="22"/>
      <w:szCs w:val="20"/>
      <w:lang w:eastAsia="en-US"/>
    </w:rPr>
  </w:style>
  <w:style w:type="paragraph" w:styleId="Lainaus">
    <w:name w:val="Quote"/>
    <w:basedOn w:val="Normaali"/>
    <w:next w:val="Normaali"/>
    <w:link w:val="LainausChar"/>
    <w:uiPriority w:val="29"/>
    <w:qFormat/>
    <w:rsid w:val="003D5CF3"/>
    <w:rPr>
      <w:i/>
      <w:iCs/>
      <w:color w:val="000000" w:themeColor="text1"/>
    </w:rPr>
  </w:style>
  <w:style w:type="character" w:customStyle="1" w:styleId="LainausChar">
    <w:name w:val="Lainaus Char"/>
    <w:basedOn w:val="Kappaleenoletusfontti"/>
    <w:link w:val="Lainaus"/>
    <w:uiPriority w:val="29"/>
    <w:rsid w:val="003D5CF3"/>
    <w:rPr>
      <w:i/>
      <w:iCs/>
      <w:color w:val="000000" w:themeColor="text1"/>
    </w:rPr>
  </w:style>
  <w:style w:type="paragraph" w:customStyle="1" w:styleId="STMleipteksti">
    <w:name w:val="STM leipäteksti"/>
    <w:rsid w:val="000A3946"/>
    <w:pPr>
      <w:ind w:left="2608"/>
    </w:pPr>
    <w:rPr>
      <w:rFonts w:ascii="Times New Roman" w:hAnsi="Times New Roman" w:cs="Times New Roman"/>
      <w:sz w:val="22"/>
      <w:szCs w:val="20"/>
      <w:lang w:eastAsia="en-US"/>
    </w:rPr>
  </w:style>
  <w:style w:type="paragraph" w:styleId="Sisluet3">
    <w:name w:val="toc 3"/>
    <w:basedOn w:val="Normaali"/>
    <w:next w:val="Normaali"/>
    <w:autoRedefine/>
    <w:uiPriority w:val="39"/>
    <w:unhideWhenUsed/>
    <w:qFormat/>
    <w:rsid w:val="006A08BE"/>
    <w:pPr>
      <w:tabs>
        <w:tab w:val="left" w:pos="1100"/>
        <w:tab w:val="right" w:leader="dot" w:pos="9628"/>
      </w:tabs>
      <w:spacing w:after="100" w:line="276" w:lineRule="auto"/>
      <w:ind w:left="440"/>
    </w:pPr>
    <w:rPr>
      <w:rFonts w:eastAsiaTheme="minorEastAsia" w:cs="Times New Roman"/>
      <w:noProof/>
      <w:sz w:val="22"/>
      <w:szCs w:val="22"/>
    </w:rPr>
  </w:style>
  <w:style w:type="character" w:styleId="AvattuHyperlinkki">
    <w:name w:val="FollowedHyperlink"/>
    <w:basedOn w:val="Kappaleenoletusfontti"/>
    <w:uiPriority w:val="99"/>
    <w:semiHidden/>
    <w:unhideWhenUsed/>
    <w:rsid w:val="00515F31"/>
    <w:rPr>
      <w:color w:val="800080" w:themeColor="followedHyperlink"/>
      <w:u w:val="single"/>
    </w:rPr>
  </w:style>
  <w:style w:type="character" w:customStyle="1" w:styleId="content2">
    <w:name w:val="content2"/>
    <w:basedOn w:val="Kappaleenoletusfontti"/>
    <w:rsid w:val="00015B1F"/>
  </w:style>
  <w:style w:type="paragraph" w:customStyle="1" w:styleId="Default">
    <w:name w:val="Default"/>
    <w:rsid w:val="009745D7"/>
    <w:pPr>
      <w:autoSpaceDE w:val="0"/>
      <w:autoSpaceDN w:val="0"/>
      <w:adjustRightInd w:val="0"/>
    </w:pPr>
    <w:rPr>
      <w:rFonts w:ascii="Times New Roman" w:hAnsi="Times New Roman" w:cs="Times New Roman"/>
      <w:color w:val="000000"/>
    </w:rPr>
  </w:style>
  <w:style w:type="character" w:styleId="Voimakas">
    <w:name w:val="Strong"/>
    <w:uiPriority w:val="22"/>
    <w:qFormat/>
    <w:rsid w:val="0052429C"/>
    <w:rPr>
      <w:b/>
      <w:bCs/>
    </w:rPr>
  </w:style>
  <w:style w:type="character" w:customStyle="1" w:styleId="apple-converted-space">
    <w:name w:val="apple-converted-space"/>
    <w:rsid w:val="0052429C"/>
  </w:style>
  <w:style w:type="character" w:styleId="Rivinumero">
    <w:name w:val="line number"/>
    <w:basedOn w:val="Kappaleenoletusfontti"/>
    <w:uiPriority w:val="99"/>
    <w:semiHidden/>
    <w:unhideWhenUsed/>
    <w:rsid w:val="00B06A11"/>
  </w:style>
  <w:style w:type="paragraph" w:styleId="Leipteksti">
    <w:name w:val="Body Text"/>
    <w:link w:val="LeiptekstiChar"/>
    <w:uiPriority w:val="99"/>
    <w:unhideWhenUsed/>
    <w:qFormat/>
    <w:rsid w:val="00776576"/>
    <w:pPr>
      <w:spacing w:after="240"/>
      <w:ind w:right="2268"/>
      <w:jc w:val="both"/>
    </w:pPr>
    <w:rPr>
      <w:rFonts w:eastAsiaTheme="minorHAnsi"/>
      <w:sz w:val="18"/>
      <w:szCs w:val="22"/>
      <w:lang w:eastAsia="en-US"/>
    </w:rPr>
  </w:style>
  <w:style w:type="character" w:customStyle="1" w:styleId="LeiptekstiChar">
    <w:name w:val="Leipäteksti Char"/>
    <w:basedOn w:val="Kappaleenoletusfontti"/>
    <w:link w:val="Leipteksti"/>
    <w:uiPriority w:val="99"/>
    <w:rsid w:val="00776576"/>
    <w:rPr>
      <w:rFonts w:eastAsiaTheme="minorHAnsi"/>
      <w:sz w:val="18"/>
      <w:szCs w:val="22"/>
      <w:lang w:eastAsia="en-US"/>
    </w:rPr>
  </w:style>
  <w:style w:type="paragraph" w:customStyle="1" w:styleId="TaulukkoLeipteksti">
    <w:name w:val="Taulukko_Leipäteksti"/>
    <w:qFormat/>
    <w:rsid w:val="00776576"/>
    <w:rPr>
      <w:rFonts w:eastAsiaTheme="minorHAnsi"/>
      <w:sz w:val="14"/>
      <w:szCs w:val="14"/>
      <w:lang w:eastAsia="en-US"/>
    </w:rPr>
  </w:style>
  <w:style w:type="paragraph" w:customStyle="1" w:styleId="LhteetLeipteksti">
    <w:name w:val="Lähteet_Leipäteksti"/>
    <w:qFormat/>
    <w:rsid w:val="00776576"/>
    <w:pPr>
      <w:spacing w:after="240"/>
      <w:ind w:right="2268"/>
    </w:pPr>
    <w:rPr>
      <w:rFonts w:eastAsiaTheme="minorHAnsi"/>
      <w:sz w:val="14"/>
      <w:szCs w:val="22"/>
      <w:lang w:eastAsia="en-US"/>
    </w:rPr>
  </w:style>
  <w:style w:type="paragraph" w:customStyle="1" w:styleId="Otsikkopieni">
    <w:name w:val="Otsikko pieni"/>
    <w:qFormat/>
    <w:rsid w:val="00776576"/>
    <w:pPr>
      <w:spacing w:after="240"/>
    </w:pPr>
    <w:rPr>
      <w:rFonts w:eastAsiaTheme="minorHAnsi"/>
      <w:b/>
      <w:color w:val="2A5DA8"/>
      <w:sz w:val="18"/>
      <w:szCs w:val="22"/>
      <w:lang w:eastAsia="en-US"/>
    </w:rPr>
  </w:style>
  <w:style w:type="paragraph" w:customStyle="1" w:styleId="LiiteOtsikko">
    <w:name w:val="LiiteOtsikko"/>
    <w:basedOn w:val="Normaali"/>
    <w:link w:val="LiiteOtsikkoChar"/>
    <w:autoRedefine/>
    <w:qFormat/>
    <w:rsid w:val="00776576"/>
    <w:pPr>
      <w:numPr>
        <w:numId w:val="23"/>
      </w:numPr>
      <w:spacing w:after="80"/>
      <w:ind w:left="1304" w:right="2268" w:hanging="1304"/>
    </w:pPr>
    <w:rPr>
      <w:rFonts w:ascii="Arial" w:eastAsiaTheme="minorHAnsi" w:hAnsi="Arial"/>
      <w:b/>
      <w:sz w:val="18"/>
      <w:szCs w:val="22"/>
      <w:lang w:eastAsia="en-US"/>
    </w:rPr>
  </w:style>
  <w:style w:type="character" w:customStyle="1" w:styleId="LiiteOtsikkoChar">
    <w:name w:val="LiiteOtsikko Char"/>
    <w:basedOn w:val="Kappaleenoletusfontti"/>
    <w:link w:val="LiiteOtsikko"/>
    <w:rsid w:val="00776576"/>
    <w:rPr>
      <w:rFonts w:eastAsiaTheme="minorHAnsi"/>
      <w:b/>
      <w:sz w:val="18"/>
      <w:szCs w:val="22"/>
      <w:lang w:eastAsia="en-US"/>
    </w:rPr>
  </w:style>
  <w:style w:type="table" w:customStyle="1" w:styleId="TaulukkoRuudukko1111">
    <w:name w:val="Taulukko Ruudukko1111"/>
    <w:basedOn w:val="Normaalitaulukko"/>
    <w:uiPriority w:val="59"/>
    <w:rsid w:val="00776576"/>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etteloViiva">
    <w:name w:val="Luettelo_Viiva"/>
    <w:qFormat/>
    <w:rsid w:val="0035747B"/>
    <w:pPr>
      <w:numPr>
        <w:ilvl w:val="1"/>
        <w:numId w:val="24"/>
      </w:numPr>
      <w:ind w:left="681" w:right="2268" w:hanging="454"/>
      <w:jc w:val="both"/>
    </w:pPr>
    <w:rPr>
      <w:rFonts w:eastAsiaTheme="minorHAnsi"/>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095">
      <w:bodyDiv w:val="1"/>
      <w:marLeft w:val="0"/>
      <w:marRight w:val="0"/>
      <w:marTop w:val="0"/>
      <w:marBottom w:val="0"/>
      <w:divBdr>
        <w:top w:val="none" w:sz="0" w:space="0" w:color="auto"/>
        <w:left w:val="none" w:sz="0" w:space="0" w:color="auto"/>
        <w:bottom w:val="none" w:sz="0" w:space="0" w:color="auto"/>
        <w:right w:val="none" w:sz="0" w:space="0" w:color="auto"/>
      </w:divBdr>
    </w:div>
    <w:div w:id="1981772">
      <w:bodyDiv w:val="1"/>
      <w:marLeft w:val="0"/>
      <w:marRight w:val="0"/>
      <w:marTop w:val="0"/>
      <w:marBottom w:val="0"/>
      <w:divBdr>
        <w:top w:val="none" w:sz="0" w:space="0" w:color="auto"/>
        <w:left w:val="none" w:sz="0" w:space="0" w:color="auto"/>
        <w:bottom w:val="none" w:sz="0" w:space="0" w:color="auto"/>
        <w:right w:val="none" w:sz="0" w:space="0" w:color="auto"/>
      </w:divBdr>
      <w:divsChild>
        <w:div w:id="1919705315">
          <w:marLeft w:val="0"/>
          <w:marRight w:val="0"/>
          <w:marTop w:val="0"/>
          <w:marBottom w:val="0"/>
          <w:divBdr>
            <w:top w:val="none" w:sz="0" w:space="0" w:color="auto"/>
            <w:left w:val="none" w:sz="0" w:space="0" w:color="auto"/>
            <w:bottom w:val="none" w:sz="0" w:space="0" w:color="auto"/>
            <w:right w:val="none" w:sz="0" w:space="0" w:color="auto"/>
          </w:divBdr>
          <w:divsChild>
            <w:div w:id="437332411">
              <w:marLeft w:val="0"/>
              <w:marRight w:val="0"/>
              <w:marTop w:val="0"/>
              <w:marBottom w:val="0"/>
              <w:divBdr>
                <w:top w:val="none" w:sz="0" w:space="0" w:color="auto"/>
                <w:left w:val="none" w:sz="0" w:space="0" w:color="auto"/>
                <w:bottom w:val="none" w:sz="0" w:space="0" w:color="auto"/>
                <w:right w:val="none" w:sz="0" w:space="0" w:color="auto"/>
              </w:divBdr>
              <w:divsChild>
                <w:div w:id="698747361">
                  <w:marLeft w:val="0"/>
                  <w:marRight w:val="0"/>
                  <w:marTop w:val="0"/>
                  <w:marBottom w:val="0"/>
                  <w:divBdr>
                    <w:top w:val="none" w:sz="0" w:space="0" w:color="auto"/>
                    <w:left w:val="none" w:sz="0" w:space="0" w:color="auto"/>
                    <w:bottom w:val="none" w:sz="0" w:space="0" w:color="auto"/>
                    <w:right w:val="none" w:sz="0" w:space="0" w:color="auto"/>
                  </w:divBdr>
                  <w:divsChild>
                    <w:div w:id="1333610302">
                      <w:marLeft w:val="0"/>
                      <w:marRight w:val="0"/>
                      <w:marTop w:val="0"/>
                      <w:marBottom w:val="0"/>
                      <w:divBdr>
                        <w:top w:val="none" w:sz="0" w:space="0" w:color="auto"/>
                        <w:left w:val="none" w:sz="0" w:space="0" w:color="auto"/>
                        <w:bottom w:val="none" w:sz="0" w:space="0" w:color="auto"/>
                        <w:right w:val="none" w:sz="0" w:space="0" w:color="auto"/>
                      </w:divBdr>
                      <w:divsChild>
                        <w:div w:id="93132547">
                          <w:marLeft w:val="0"/>
                          <w:marRight w:val="0"/>
                          <w:marTop w:val="0"/>
                          <w:marBottom w:val="0"/>
                          <w:divBdr>
                            <w:top w:val="none" w:sz="0" w:space="0" w:color="auto"/>
                            <w:left w:val="none" w:sz="0" w:space="0" w:color="auto"/>
                            <w:bottom w:val="none" w:sz="0" w:space="0" w:color="auto"/>
                            <w:right w:val="none" w:sz="0" w:space="0" w:color="auto"/>
                          </w:divBdr>
                          <w:divsChild>
                            <w:div w:id="317464782">
                              <w:marLeft w:val="450"/>
                              <w:marRight w:val="450"/>
                              <w:marTop w:val="0"/>
                              <w:marBottom w:val="0"/>
                              <w:divBdr>
                                <w:top w:val="none" w:sz="0" w:space="0" w:color="auto"/>
                                <w:left w:val="none" w:sz="0" w:space="0" w:color="auto"/>
                                <w:bottom w:val="none" w:sz="0" w:space="0" w:color="auto"/>
                                <w:right w:val="none" w:sz="0" w:space="0" w:color="auto"/>
                              </w:divBdr>
                              <w:divsChild>
                                <w:div w:id="850149367">
                                  <w:marLeft w:val="0"/>
                                  <w:marRight w:val="0"/>
                                  <w:marTop w:val="0"/>
                                  <w:marBottom w:val="0"/>
                                  <w:divBdr>
                                    <w:top w:val="none" w:sz="0" w:space="0" w:color="auto"/>
                                    <w:left w:val="none" w:sz="0" w:space="0" w:color="auto"/>
                                    <w:bottom w:val="none" w:sz="0" w:space="0" w:color="auto"/>
                                    <w:right w:val="none" w:sz="0" w:space="0" w:color="auto"/>
                                  </w:divBdr>
                                  <w:divsChild>
                                    <w:div w:id="1412505690">
                                      <w:marLeft w:val="450"/>
                                      <w:marRight w:val="0"/>
                                      <w:marTop w:val="750"/>
                                      <w:marBottom w:val="450"/>
                                      <w:divBdr>
                                        <w:top w:val="none" w:sz="0" w:space="0" w:color="auto"/>
                                        <w:left w:val="none" w:sz="0" w:space="0" w:color="auto"/>
                                        <w:bottom w:val="none" w:sz="0" w:space="0" w:color="auto"/>
                                        <w:right w:val="none" w:sz="0" w:space="0" w:color="auto"/>
                                      </w:divBdr>
                                      <w:divsChild>
                                        <w:div w:id="1021398414">
                                          <w:marLeft w:val="0"/>
                                          <w:marRight w:val="0"/>
                                          <w:marTop w:val="0"/>
                                          <w:marBottom w:val="0"/>
                                          <w:divBdr>
                                            <w:top w:val="none" w:sz="0" w:space="0" w:color="auto"/>
                                            <w:left w:val="none" w:sz="0" w:space="0" w:color="auto"/>
                                            <w:bottom w:val="none" w:sz="0" w:space="0" w:color="auto"/>
                                            <w:right w:val="none" w:sz="0" w:space="0" w:color="auto"/>
                                          </w:divBdr>
                                          <w:divsChild>
                                            <w:div w:id="971667950">
                                              <w:marLeft w:val="0"/>
                                              <w:marRight w:val="0"/>
                                              <w:marTop w:val="0"/>
                                              <w:marBottom w:val="450"/>
                                              <w:divBdr>
                                                <w:top w:val="none" w:sz="0" w:space="0" w:color="auto"/>
                                                <w:left w:val="none" w:sz="0" w:space="0" w:color="auto"/>
                                                <w:bottom w:val="dashed" w:sz="12" w:space="23" w:color="D8D8D8"/>
                                                <w:right w:val="none" w:sz="0" w:space="0" w:color="auto"/>
                                              </w:divBdr>
                                              <w:divsChild>
                                                <w:div w:id="1508206634">
                                                  <w:marLeft w:val="0"/>
                                                  <w:marRight w:val="0"/>
                                                  <w:marTop w:val="0"/>
                                                  <w:marBottom w:val="0"/>
                                                  <w:divBdr>
                                                    <w:top w:val="none" w:sz="0" w:space="0" w:color="auto"/>
                                                    <w:left w:val="none" w:sz="0" w:space="0" w:color="auto"/>
                                                    <w:bottom w:val="none" w:sz="0" w:space="0" w:color="auto"/>
                                                    <w:right w:val="none" w:sz="0" w:space="0" w:color="auto"/>
                                                  </w:divBdr>
                                                  <w:divsChild>
                                                    <w:div w:id="1397047756">
                                                      <w:marLeft w:val="0"/>
                                                      <w:marRight w:val="0"/>
                                                      <w:marTop w:val="0"/>
                                                      <w:marBottom w:val="0"/>
                                                      <w:divBdr>
                                                        <w:top w:val="none" w:sz="0" w:space="0" w:color="auto"/>
                                                        <w:left w:val="none" w:sz="0" w:space="0" w:color="auto"/>
                                                        <w:bottom w:val="none" w:sz="0" w:space="0" w:color="auto"/>
                                                        <w:right w:val="none" w:sz="0" w:space="0" w:color="auto"/>
                                                      </w:divBdr>
                                                      <w:divsChild>
                                                        <w:div w:id="1824538797">
                                                          <w:marLeft w:val="0"/>
                                                          <w:marRight w:val="0"/>
                                                          <w:marTop w:val="0"/>
                                                          <w:marBottom w:val="0"/>
                                                          <w:divBdr>
                                                            <w:top w:val="none" w:sz="0" w:space="0" w:color="auto"/>
                                                            <w:left w:val="none" w:sz="0" w:space="0" w:color="auto"/>
                                                            <w:bottom w:val="none" w:sz="0" w:space="0" w:color="auto"/>
                                                            <w:right w:val="none" w:sz="0" w:space="0" w:color="auto"/>
                                                          </w:divBdr>
                                                          <w:divsChild>
                                                            <w:div w:id="249503892">
                                                              <w:marLeft w:val="0"/>
                                                              <w:marRight w:val="0"/>
                                                              <w:marTop w:val="0"/>
                                                              <w:marBottom w:val="0"/>
                                                              <w:divBdr>
                                                                <w:top w:val="none" w:sz="0" w:space="0" w:color="auto"/>
                                                                <w:left w:val="none" w:sz="0" w:space="0" w:color="auto"/>
                                                                <w:bottom w:val="none" w:sz="0" w:space="0" w:color="auto"/>
                                                                <w:right w:val="none" w:sz="0" w:space="0" w:color="auto"/>
                                                              </w:divBdr>
                                                              <w:divsChild>
                                                                <w:div w:id="232739703">
                                                                  <w:marLeft w:val="0"/>
                                                                  <w:marRight w:val="0"/>
                                                                  <w:marTop w:val="0"/>
                                                                  <w:marBottom w:val="0"/>
                                                                  <w:divBdr>
                                                                    <w:top w:val="none" w:sz="0" w:space="0" w:color="auto"/>
                                                                    <w:left w:val="none" w:sz="0" w:space="0" w:color="auto"/>
                                                                    <w:bottom w:val="none" w:sz="0" w:space="0" w:color="auto"/>
                                                                    <w:right w:val="none" w:sz="0" w:space="0" w:color="auto"/>
                                                                  </w:divBdr>
                                                                  <w:divsChild>
                                                                    <w:div w:id="756831672">
                                                                      <w:marLeft w:val="0"/>
                                                                      <w:marRight w:val="0"/>
                                                                      <w:marTop w:val="0"/>
                                                                      <w:marBottom w:val="0"/>
                                                                      <w:divBdr>
                                                                        <w:top w:val="none" w:sz="0" w:space="0" w:color="auto"/>
                                                                        <w:left w:val="none" w:sz="0" w:space="0" w:color="auto"/>
                                                                        <w:bottom w:val="none" w:sz="0" w:space="0" w:color="auto"/>
                                                                        <w:right w:val="none" w:sz="0" w:space="0" w:color="auto"/>
                                                                      </w:divBdr>
                                                                      <w:divsChild>
                                                                        <w:div w:id="1870490729">
                                                                          <w:marLeft w:val="0"/>
                                                                          <w:marRight w:val="0"/>
                                                                          <w:marTop w:val="0"/>
                                                                          <w:marBottom w:val="0"/>
                                                                          <w:divBdr>
                                                                            <w:top w:val="none" w:sz="0" w:space="0" w:color="auto"/>
                                                                            <w:left w:val="none" w:sz="0" w:space="0" w:color="auto"/>
                                                                            <w:bottom w:val="none" w:sz="0" w:space="0" w:color="auto"/>
                                                                            <w:right w:val="none" w:sz="0" w:space="0" w:color="auto"/>
                                                                          </w:divBdr>
                                                                          <w:divsChild>
                                                                            <w:div w:id="1532569889">
                                                                              <w:marLeft w:val="0"/>
                                                                              <w:marRight w:val="0"/>
                                                                              <w:marTop w:val="0"/>
                                                                              <w:marBottom w:val="0"/>
                                                                              <w:divBdr>
                                                                                <w:top w:val="none" w:sz="0" w:space="0" w:color="auto"/>
                                                                                <w:left w:val="none" w:sz="0" w:space="0" w:color="auto"/>
                                                                                <w:bottom w:val="none" w:sz="0" w:space="0" w:color="auto"/>
                                                                                <w:right w:val="none" w:sz="0" w:space="0" w:color="auto"/>
                                                                              </w:divBdr>
                                                                              <w:divsChild>
                                                                                <w:div w:id="58800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75840">
      <w:bodyDiv w:val="1"/>
      <w:marLeft w:val="0"/>
      <w:marRight w:val="0"/>
      <w:marTop w:val="0"/>
      <w:marBottom w:val="0"/>
      <w:divBdr>
        <w:top w:val="none" w:sz="0" w:space="0" w:color="auto"/>
        <w:left w:val="none" w:sz="0" w:space="0" w:color="auto"/>
        <w:bottom w:val="none" w:sz="0" w:space="0" w:color="auto"/>
        <w:right w:val="none" w:sz="0" w:space="0" w:color="auto"/>
      </w:divBdr>
    </w:div>
    <w:div w:id="138575672">
      <w:bodyDiv w:val="1"/>
      <w:marLeft w:val="0"/>
      <w:marRight w:val="0"/>
      <w:marTop w:val="0"/>
      <w:marBottom w:val="0"/>
      <w:divBdr>
        <w:top w:val="none" w:sz="0" w:space="0" w:color="auto"/>
        <w:left w:val="none" w:sz="0" w:space="0" w:color="auto"/>
        <w:bottom w:val="none" w:sz="0" w:space="0" w:color="auto"/>
        <w:right w:val="none" w:sz="0" w:space="0" w:color="auto"/>
      </w:divBdr>
      <w:divsChild>
        <w:div w:id="969750682">
          <w:marLeft w:val="720"/>
          <w:marRight w:val="0"/>
          <w:marTop w:val="0"/>
          <w:marBottom w:val="0"/>
          <w:divBdr>
            <w:top w:val="none" w:sz="0" w:space="0" w:color="auto"/>
            <w:left w:val="none" w:sz="0" w:space="0" w:color="auto"/>
            <w:bottom w:val="none" w:sz="0" w:space="0" w:color="auto"/>
            <w:right w:val="none" w:sz="0" w:space="0" w:color="auto"/>
          </w:divBdr>
        </w:div>
      </w:divsChild>
    </w:div>
    <w:div w:id="389957877">
      <w:bodyDiv w:val="1"/>
      <w:marLeft w:val="0"/>
      <w:marRight w:val="0"/>
      <w:marTop w:val="0"/>
      <w:marBottom w:val="0"/>
      <w:divBdr>
        <w:top w:val="none" w:sz="0" w:space="0" w:color="auto"/>
        <w:left w:val="none" w:sz="0" w:space="0" w:color="auto"/>
        <w:bottom w:val="none" w:sz="0" w:space="0" w:color="auto"/>
        <w:right w:val="none" w:sz="0" w:space="0" w:color="auto"/>
      </w:divBdr>
    </w:div>
    <w:div w:id="644118028">
      <w:bodyDiv w:val="1"/>
      <w:marLeft w:val="0"/>
      <w:marRight w:val="0"/>
      <w:marTop w:val="0"/>
      <w:marBottom w:val="0"/>
      <w:divBdr>
        <w:top w:val="none" w:sz="0" w:space="0" w:color="auto"/>
        <w:left w:val="none" w:sz="0" w:space="0" w:color="auto"/>
        <w:bottom w:val="none" w:sz="0" w:space="0" w:color="auto"/>
        <w:right w:val="none" w:sz="0" w:space="0" w:color="auto"/>
      </w:divBdr>
    </w:div>
    <w:div w:id="667052004">
      <w:bodyDiv w:val="1"/>
      <w:marLeft w:val="0"/>
      <w:marRight w:val="0"/>
      <w:marTop w:val="0"/>
      <w:marBottom w:val="0"/>
      <w:divBdr>
        <w:top w:val="none" w:sz="0" w:space="0" w:color="auto"/>
        <w:left w:val="none" w:sz="0" w:space="0" w:color="auto"/>
        <w:bottom w:val="none" w:sz="0" w:space="0" w:color="auto"/>
        <w:right w:val="none" w:sz="0" w:space="0" w:color="auto"/>
      </w:divBdr>
    </w:div>
    <w:div w:id="696659356">
      <w:bodyDiv w:val="1"/>
      <w:marLeft w:val="0"/>
      <w:marRight w:val="0"/>
      <w:marTop w:val="0"/>
      <w:marBottom w:val="0"/>
      <w:divBdr>
        <w:top w:val="none" w:sz="0" w:space="0" w:color="auto"/>
        <w:left w:val="none" w:sz="0" w:space="0" w:color="auto"/>
        <w:bottom w:val="none" w:sz="0" w:space="0" w:color="auto"/>
        <w:right w:val="none" w:sz="0" w:space="0" w:color="auto"/>
      </w:divBdr>
      <w:divsChild>
        <w:div w:id="210653130">
          <w:marLeft w:val="0"/>
          <w:marRight w:val="0"/>
          <w:marTop w:val="0"/>
          <w:marBottom w:val="0"/>
          <w:divBdr>
            <w:top w:val="none" w:sz="0" w:space="0" w:color="auto"/>
            <w:left w:val="none" w:sz="0" w:space="0" w:color="auto"/>
            <w:bottom w:val="none" w:sz="0" w:space="0" w:color="auto"/>
            <w:right w:val="none" w:sz="0" w:space="0" w:color="auto"/>
          </w:divBdr>
          <w:divsChild>
            <w:div w:id="1193954767">
              <w:marLeft w:val="0"/>
              <w:marRight w:val="0"/>
              <w:marTop w:val="0"/>
              <w:marBottom w:val="0"/>
              <w:divBdr>
                <w:top w:val="none" w:sz="0" w:space="0" w:color="auto"/>
                <w:left w:val="none" w:sz="0" w:space="0" w:color="auto"/>
                <w:bottom w:val="none" w:sz="0" w:space="0" w:color="auto"/>
                <w:right w:val="none" w:sz="0" w:space="0" w:color="auto"/>
              </w:divBdr>
              <w:divsChild>
                <w:div w:id="1414863575">
                  <w:marLeft w:val="0"/>
                  <w:marRight w:val="0"/>
                  <w:marTop w:val="0"/>
                  <w:marBottom w:val="0"/>
                  <w:divBdr>
                    <w:top w:val="none" w:sz="0" w:space="0" w:color="auto"/>
                    <w:left w:val="none" w:sz="0" w:space="0" w:color="auto"/>
                    <w:bottom w:val="none" w:sz="0" w:space="0" w:color="auto"/>
                    <w:right w:val="none" w:sz="0" w:space="0" w:color="auto"/>
                  </w:divBdr>
                  <w:divsChild>
                    <w:div w:id="628367094">
                      <w:marLeft w:val="0"/>
                      <w:marRight w:val="0"/>
                      <w:marTop w:val="0"/>
                      <w:marBottom w:val="0"/>
                      <w:divBdr>
                        <w:top w:val="none" w:sz="0" w:space="0" w:color="auto"/>
                        <w:left w:val="none" w:sz="0" w:space="0" w:color="auto"/>
                        <w:bottom w:val="none" w:sz="0" w:space="0" w:color="auto"/>
                        <w:right w:val="none" w:sz="0" w:space="0" w:color="auto"/>
                      </w:divBdr>
                      <w:divsChild>
                        <w:div w:id="2010522958">
                          <w:marLeft w:val="0"/>
                          <w:marRight w:val="0"/>
                          <w:marTop w:val="0"/>
                          <w:marBottom w:val="0"/>
                          <w:divBdr>
                            <w:top w:val="none" w:sz="0" w:space="0" w:color="auto"/>
                            <w:left w:val="none" w:sz="0" w:space="0" w:color="auto"/>
                            <w:bottom w:val="none" w:sz="0" w:space="0" w:color="auto"/>
                            <w:right w:val="none" w:sz="0" w:space="0" w:color="auto"/>
                          </w:divBdr>
                          <w:divsChild>
                            <w:div w:id="355665880">
                              <w:marLeft w:val="0"/>
                              <w:marRight w:val="0"/>
                              <w:marTop w:val="0"/>
                              <w:marBottom w:val="0"/>
                              <w:divBdr>
                                <w:top w:val="none" w:sz="0" w:space="0" w:color="auto"/>
                                <w:left w:val="none" w:sz="0" w:space="0" w:color="auto"/>
                                <w:bottom w:val="none" w:sz="0" w:space="0" w:color="auto"/>
                                <w:right w:val="none" w:sz="0" w:space="0" w:color="auto"/>
                              </w:divBdr>
                              <w:divsChild>
                                <w:div w:id="1647978279">
                                  <w:marLeft w:val="0"/>
                                  <w:marRight w:val="0"/>
                                  <w:marTop w:val="0"/>
                                  <w:marBottom w:val="0"/>
                                  <w:divBdr>
                                    <w:top w:val="none" w:sz="0" w:space="0" w:color="auto"/>
                                    <w:left w:val="none" w:sz="0" w:space="0" w:color="auto"/>
                                    <w:bottom w:val="none" w:sz="0" w:space="0" w:color="auto"/>
                                    <w:right w:val="none" w:sz="0" w:space="0" w:color="auto"/>
                                  </w:divBdr>
                                  <w:divsChild>
                                    <w:div w:id="1063717831">
                                      <w:marLeft w:val="0"/>
                                      <w:marRight w:val="0"/>
                                      <w:marTop w:val="0"/>
                                      <w:marBottom w:val="0"/>
                                      <w:divBdr>
                                        <w:top w:val="none" w:sz="0" w:space="0" w:color="auto"/>
                                        <w:left w:val="none" w:sz="0" w:space="0" w:color="auto"/>
                                        <w:bottom w:val="none" w:sz="0" w:space="0" w:color="auto"/>
                                        <w:right w:val="none" w:sz="0" w:space="0" w:color="auto"/>
                                      </w:divBdr>
                                      <w:divsChild>
                                        <w:div w:id="371541095">
                                          <w:marLeft w:val="0"/>
                                          <w:marRight w:val="0"/>
                                          <w:marTop w:val="0"/>
                                          <w:marBottom w:val="0"/>
                                          <w:divBdr>
                                            <w:top w:val="none" w:sz="0" w:space="0" w:color="auto"/>
                                            <w:left w:val="none" w:sz="0" w:space="0" w:color="auto"/>
                                            <w:bottom w:val="none" w:sz="0" w:space="0" w:color="auto"/>
                                            <w:right w:val="none" w:sz="0" w:space="0" w:color="auto"/>
                                          </w:divBdr>
                                          <w:divsChild>
                                            <w:div w:id="1916625701">
                                              <w:marLeft w:val="0"/>
                                              <w:marRight w:val="0"/>
                                              <w:marTop w:val="0"/>
                                              <w:marBottom w:val="0"/>
                                              <w:divBdr>
                                                <w:top w:val="none" w:sz="0" w:space="0" w:color="auto"/>
                                                <w:left w:val="none" w:sz="0" w:space="0" w:color="auto"/>
                                                <w:bottom w:val="none" w:sz="0" w:space="0" w:color="auto"/>
                                                <w:right w:val="none" w:sz="0" w:space="0" w:color="auto"/>
                                              </w:divBdr>
                                              <w:divsChild>
                                                <w:div w:id="116724050">
                                                  <w:marLeft w:val="0"/>
                                                  <w:marRight w:val="0"/>
                                                  <w:marTop w:val="0"/>
                                                  <w:marBottom w:val="0"/>
                                                  <w:divBdr>
                                                    <w:top w:val="none" w:sz="0" w:space="0" w:color="auto"/>
                                                    <w:left w:val="none" w:sz="0" w:space="0" w:color="auto"/>
                                                    <w:bottom w:val="none" w:sz="0" w:space="0" w:color="auto"/>
                                                    <w:right w:val="none" w:sz="0" w:space="0" w:color="auto"/>
                                                  </w:divBdr>
                                                  <w:divsChild>
                                                    <w:div w:id="1962494668">
                                                      <w:marLeft w:val="0"/>
                                                      <w:marRight w:val="0"/>
                                                      <w:marTop w:val="0"/>
                                                      <w:marBottom w:val="0"/>
                                                      <w:divBdr>
                                                        <w:top w:val="none" w:sz="0" w:space="0" w:color="auto"/>
                                                        <w:left w:val="none" w:sz="0" w:space="0" w:color="auto"/>
                                                        <w:bottom w:val="none" w:sz="0" w:space="0" w:color="auto"/>
                                                        <w:right w:val="none" w:sz="0" w:space="0" w:color="auto"/>
                                                      </w:divBdr>
                                                      <w:divsChild>
                                                        <w:div w:id="1853033516">
                                                          <w:marLeft w:val="0"/>
                                                          <w:marRight w:val="0"/>
                                                          <w:marTop w:val="0"/>
                                                          <w:marBottom w:val="0"/>
                                                          <w:divBdr>
                                                            <w:top w:val="none" w:sz="0" w:space="0" w:color="auto"/>
                                                            <w:left w:val="none" w:sz="0" w:space="0" w:color="auto"/>
                                                            <w:bottom w:val="none" w:sz="0" w:space="0" w:color="auto"/>
                                                            <w:right w:val="none" w:sz="0" w:space="0" w:color="auto"/>
                                                          </w:divBdr>
                                                          <w:divsChild>
                                                            <w:div w:id="409891701">
                                                              <w:marLeft w:val="0"/>
                                                              <w:marRight w:val="0"/>
                                                              <w:marTop w:val="0"/>
                                                              <w:marBottom w:val="0"/>
                                                              <w:divBdr>
                                                                <w:top w:val="none" w:sz="0" w:space="0" w:color="auto"/>
                                                                <w:left w:val="none" w:sz="0" w:space="0" w:color="auto"/>
                                                                <w:bottom w:val="none" w:sz="0" w:space="0" w:color="auto"/>
                                                                <w:right w:val="none" w:sz="0" w:space="0" w:color="auto"/>
                                                              </w:divBdr>
                                                              <w:divsChild>
                                                                <w:div w:id="644971679">
                                                                  <w:marLeft w:val="0"/>
                                                                  <w:marRight w:val="0"/>
                                                                  <w:marTop w:val="0"/>
                                                                  <w:marBottom w:val="0"/>
                                                                  <w:divBdr>
                                                                    <w:top w:val="none" w:sz="0" w:space="0" w:color="auto"/>
                                                                    <w:left w:val="none" w:sz="0" w:space="0" w:color="auto"/>
                                                                    <w:bottom w:val="none" w:sz="0" w:space="0" w:color="auto"/>
                                                                    <w:right w:val="none" w:sz="0" w:space="0" w:color="auto"/>
                                                                  </w:divBdr>
                                                                  <w:divsChild>
                                                                    <w:div w:id="817844487">
                                                                      <w:marLeft w:val="0"/>
                                                                      <w:marRight w:val="0"/>
                                                                      <w:marTop w:val="0"/>
                                                                      <w:marBottom w:val="0"/>
                                                                      <w:divBdr>
                                                                        <w:top w:val="none" w:sz="0" w:space="0" w:color="auto"/>
                                                                        <w:left w:val="none" w:sz="0" w:space="0" w:color="auto"/>
                                                                        <w:bottom w:val="none" w:sz="0" w:space="0" w:color="auto"/>
                                                                        <w:right w:val="none" w:sz="0" w:space="0" w:color="auto"/>
                                                                      </w:divBdr>
                                                                      <w:divsChild>
                                                                        <w:div w:id="57523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047276">
      <w:bodyDiv w:val="1"/>
      <w:marLeft w:val="0"/>
      <w:marRight w:val="0"/>
      <w:marTop w:val="0"/>
      <w:marBottom w:val="0"/>
      <w:divBdr>
        <w:top w:val="none" w:sz="0" w:space="0" w:color="auto"/>
        <w:left w:val="none" w:sz="0" w:space="0" w:color="auto"/>
        <w:bottom w:val="none" w:sz="0" w:space="0" w:color="auto"/>
        <w:right w:val="none" w:sz="0" w:space="0" w:color="auto"/>
      </w:divBdr>
    </w:div>
    <w:div w:id="883643675">
      <w:bodyDiv w:val="1"/>
      <w:marLeft w:val="0"/>
      <w:marRight w:val="0"/>
      <w:marTop w:val="0"/>
      <w:marBottom w:val="0"/>
      <w:divBdr>
        <w:top w:val="none" w:sz="0" w:space="0" w:color="auto"/>
        <w:left w:val="none" w:sz="0" w:space="0" w:color="auto"/>
        <w:bottom w:val="none" w:sz="0" w:space="0" w:color="auto"/>
        <w:right w:val="none" w:sz="0" w:space="0" w:color="auto"/>
      </w:divBdr>
      <w:divsChild>
        <w:div w:id="195771896">
          <w:marLeft w:val="720"/>
          <w:marRight w:val="0"/>
          <w:marTop w:val="0"/>
          <w:marBottom w:val="0"/>
          <w:divBdr>
            <w:top w:val="none" w:sz="0" w:space="0" w:color="auto"/>
            <w:left w:val="none" w:sz="0" w:space="0" w:color="auto"/>
            <w:bottom w:val="none" w:sz="0" w:space="0" w:color="auto"/>
            <w:right w:val="none" w:sz="0" w:space="0" w:color="auto"/>
          </w:divBdr>
        </w:div>
        <w:div w:id="1427143828">
          <w:marLeft w:val="1440"/>
          <w:marRight w:val="0"/>
          <w:marTop w:val="0"/>
          <w:marBottom w:val="0"/>
          <w:divBdr>
            <w:top w:val="none" w:sz="0" w:space="0" w:color="auto"/>
            <w:left w:val="none" w:sz="0" w:space="0" w:color="auto"/>
            <w:bottom w:val="none" w:sz="0" w:space="0" w:color="auto"/>
            <w:right w:val="none" w:sz="0" w:space="0" w:color="auto"/>
          </w:divBdr>
        </w:div>
        <w:div w:id="821510150">
          <w:marLeft w:val="1440"/>
          <w:marRight w:val="0"/>
          <w:marTop w:val="0"/>
          <w:marBottom w:val="0"/>
          <w:divBdr>
            <w:top w:val="none" w:sz="0" w:space="0" w:color="auto"/>
            <w:left w:val="none" w:sz="0" w:space="0" w:color="auto"/>
            <w:bottom w:val="none" w:sz="0" w:space="0" w:color="auto"/>
            <w:right w:val="none" w:sz="0" w:space="0" w:color="auto"/>
          </w:divBdr>
        </w:div>
      </w:divsChild>
    </w:div>
    <w:div w:id="892500539">
      <w:bodyDiv w:val="1"/>
      <w:marLeft w:val="0"/>
      <w:marRight w:val="0"/>
      <w:marTop w:val="0"/>
      <w:marBottom w:val="0"/>
      <w:divBdr>
        <w:top w:val="none" w:sz="0" w:space="0" w:color="auto"/>
        <w:left w:val="none" w:sz="0" w:space="0" w:color="auto"/>
        <w:bottom w:val="none" w:sz="0" w:space="0" w:color="auto"/>
        <w:right w:val="none" w:sz="0" w:space="0" w:color="auto"/>
      </w:divBdr>
    </w:div>
    <w:div w:id="932975986">
      <w:bodyDiv w:val="1"/>
      <w:marLeft w:val="0"/>
      <w:marRight w:val="0"/>
      <w:marTop w:val="0"/>
      <w:marBottom w:val="0"/>
      <w:divBdr>
        <w:top w:val="none" w:sz="0" w:space="0" w:color="auto"/>
        <w:left w:val="none" w:sz="0" w:space="0" w:color="auto"/>
        <w:bottom w:val="none" w:sz="0" w:space="0" w:color="auto"/>
        <w:right w:val="none" w:sz="0" w:space="0" w:color="auto"/>
      </w:divBdr>
    </w:div>
    <w:div w:id="1115635676">
      <w:bodyDiv w:val="1"/>
      <w:marLeft w:val="0"/>
      <w:marRight w:val="0"/>
      <w:marTop w:val="0"/>
      <w:marBottom w:val="0"/>
      <w:divBdr>
        <w:top w:val="none" w:sz="0" w:space="0" w:color="auto"/>
        <w:left w:val="none" w:sz="0" w:space="0" w:color="auto"/>
        <w:bottom w:val="none" w:sz="0" w:space="0" w:color="auto"/>
        <w:right w:val="none" w:sz="0" w:space="0" w:color="auto"/>
      </w:divBdr>
    </w:div>
    <w:div w:id="1226375710">
      <w:bodyDiv w:val="1"/>
      <w:marLeft w:val="0"/>
      <w:marRight w:val="0"/>
      <w:marTop w:val="0"/>
      <w:marBottom w:val="0"/>
      <w:divBdr>
        <w:top w:val="none" w:sz="0" w:space="0" w:color="auto"/>
        <w:left w:val="none" w:sz="0" w:space="0" w:color="auto"/>
        <w:bottom w:val="none" w:sz="0" w:space="0" w:color="auto"/>
        <w:right w:val="none" w:sz="0" w:space="0" w:color="auto"/>
      </w:divBdr>
      <w:divsChild>
        <w:div w:id="430854422">
          <w:marLeft w:val="720"/>
          <w:marRight w:val="0"/>
          <w:marTop w:val="0"/>
          <w:marBottom w:val="0"/>
          <w:divBdr>
            <w:top w:val="none" w:sz="0" w:space="0" w:color="auto"/>
            <w:left w:val="none" w:sz="0" w:space="0" w:color="auto"/>
            <w:bottom w:val="none" w:sz="0" w:space="0" w:color="auto"/>
            <w:right w:val="none" w:sz="0" w:space="0" w:color="auto"/>
          </w:divBdr>
        </w:div>
        <w:div w:id="1258833299">
          <w:marLeft w:val="720"/>
          <w:marRight w:val="0"/>
          <w:marTop w:val="0"/>
          <w:marBottom w:val="0"/>
          <w:divBdr>
            <w:top w:val="none" w:sz="0" w:space="0" w:color="auto"/>
            <w:left w:val="none" w:sz="0" w:space="0" w:color="auto"/>
            <w:bottom w:val="none" w:sz="0" w:space="0" w:color="auto"/>
            <w:right w:val="none" w:sz="0" w:space="0" w:color="auto"/>
          </w:divBdr>
        </w:div>
        <w:div w:id="1186141446">
          <w:marLeft w:val="720"/>
          <w:marRight w:val="0"/>
          <w:marTop w:val="0"/>
          <w:marBottom w:val="0"/>
          <w:divBdr>
            <w:top w:val="none" w:sz="0" w:space="0" w:color="auto"/>
            <w:left w:val="none" w:sz="0" w:space="0" w:color="auto"/>
            <w:bottom w:val="none" w:sz="0" w:space="0" w:color="auto"/>
            <w:right w:val="none" w:sz="0" w:space="0" w:color="auto"/>
          </w:divBdr>
        </w:div>
        <w:div w:id="2039968796">
          <w:marLeft w:val="720"/>
          <w:marRight w:val="0"/>
          <w:marTop w:val="0"/>
          <w:marBottom w:val="0"/>
          <w:divBdr>
            <w:top w:val="none" w:sz="0" w:space="0" w:color="auto"/>
            <w:left w:val="none" w:sz="0" w:space="0" w:color="auto"/>
            <w:bottom w:val="none" w:sz="0" w:space="0" w:color="auto"/>
            <w:right w:val="none" w:sz="0" w:space="0" w:color="auto"/>
          </w:divBdr>
        </w:div>
        <w:div w:id="1899628554">
          <w:marLeft w:val="720"/>
          <w:marRight w:val="0"/>
          <w:marTop w:val="0"/>
          <w:marBottom w:val="0"/>
          <w:divBdr>
            <w:top w:val="none" w:sz="0" w:space="0" w:color="auto"/>
            <w:left w:val="none" w:sz="0" w:space="0" w:color="auto"/>
            <w:bottom w:val="none" w:sz="0" w:space="0" w:color="auto"/>
            <w:right w:val="none" w:sz="0" w:space="0" w:color="auto"/>
          </w:divBdr>
        </w:div>
        <w:div w:id="769198843">
          <w:marLeft w:val="720"/>
          <w:marRight w:val="0"/>
          <w:marTop w:val="0"/>
          <w:marBottom w:val="0"/>
          <w:divBdr>
            <w:top w:val="none" w:sz="0" w:space="0" w:color="auto"/>
            <w:left w:val="none" w:sz="0" w:space="0" w:color="auto"/>
            <w:bottom w:val="none" w:sz="0" w:space="0" w:color="auto"/>
            <w:right w:val="none" w:sz="0" w:space="0" w:color="auto"/>
          </w:divBdr>
        </w:div>
        <w:div w:id="51317472">
          <w:marLeft w:val="720"/>
          <w:marRight w:val="0"/>
          <w:marTop w:val="0"/>
          <w:marBottom w:val="0"/>
          <w:divBdr>
            <w:top w:val="none" w:sz="0" w:space="0" w:color="auto"/>
            <w:left w:val="none" w:sz="0" w:space="0" w:color="auto"/>
            <w:bottom w:val="none" w:sz="0" w:space="0" w:color="auto"/>
            <w:right w:val="none" w:sz="0" w:space="0" w:color="auto"/>
          </w:divBdr>
        </w:div>
      </w:divsChild>
    </w:div>
    <w:div w:id="1302542990">
      <w:bodyDiv w:val="1"/>
      <w:marLeft w:val="0"/>
      <w:marRight w:val="0"/>
      <w:marTop w:val="0"/>
      <w:marBottom w:val="0"/>
      <w:divBdr>
        <w:top w:val="none" w:sz="0" w:space="0" w:color="auto"/>
        <w:left w:val="none" w:sz="0" w:space="0" w:color="auto"/>
        <w:bottom w:val="none" w:sz="0" w:space="0" w:color="auto"/>
        <w:right w:val="none" w:sz="0" w:space="0" w:color="auto"/>
      </w:divBdr>
      <w:divsChild>
        <w:div w:id="784614977">
          <w:marLeft w:val="0"/>
          <w:marRight w:val="0"/>
          <w:marTop w:val="0"/>
          <w:marBottom w:val="0"/>
          <w:divBdr>
            <w:top w:val="none" w:sz="0" w:space="0" w:color="auto"/>
            <w:left w:val="none" w:sz="0" w:space="0" w:color="auto"/>
            <w:bottom w:val="none" w:sz="0" w:space="0" w:color="auto"/>
            <w:right w:val="none" w:sz="0" w:space="0" w:color="auto"/>
          </w:divBdr>
          <w:divsChild>
            <w:div w:id="1599562847">
              <w:marLeft w:val="0"/>
              <w:marRight w:val="0"/>
              <w:marTop w:val="0"/>
              <w:marBottom w:val="0"/>
              <w:divBdr>
                <w:top w:val="none" w:sz="0" w:space="0" w:color="auto"/>
                <w:left w:val="none" w:sz="0" w:space="0" w:color="auto"/>
                <w:bottom w:val="none" w:sz="0" w:space="0" w:color="auto"/>
                <w:right w:val="none" w:sz="0" w:space="0" w:color="auto"/>
              </w:divBdr>
              <w:divsChild>
                <w:div w:id="1086683777">
                  <w:marLeft w:val="0"/>
                  <w:marRight w:val="0"/>
                  <w:marTop w:val="0"/>
                  <w:marBottom w:val="0"/>
                  <w:divBdr>
                    <w:top w:val="none" w:sz="0" w:space="0" w:color="auto"/>
                    <w:left w:val="none" w:sz="0" w:space="0" w:color="auto"/>
                    <w:bottom w:val="none" w:sz="0" w:space="0" w:color="auto"/>
                    <w:right w:val="none" w:sz="0" w:space="0" w:color="auto"/>
                  </w:divBdr>
                  <w:divsChild>
                    <w:div w:id="200238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92328">
      <w:bodyDiv w:val="1"/>
      <w:marLeft w:val="0"/>
      <w:marRight w:val="0"/>
      <w:marTop w:val="0"/>
      <w:marBottom w:val="0"/>
      <w:divBdr>
        <w:top w:val="none" w:sz="0" w:space="0" w:color="auto"/>
        <w:left w:val="none" w:sz="0" w:space="0" w:color="auto"/>
        <w:bottom w:val="none" w:sz="0" w:space="0" w:color="auto"/>
        <w:right w:val="none" w:sz="0" w:space="0" w:color="auto"/>
      </w:divBdr>
    </w:div>
    <w:div w:id="1543129036">
      <w:bodyDiv w:val="1"/>
      <w:marLeft w:val="0"/>
      <w:marRight w:val="0"/>
      <w:marTop w:val="0"/>
      <w:marBottom w:val="0"/>
      <w:divBdr>
        <w:top w:val="none" w:sz="0" w:space="0" w:color="auto"/>
        <w:left w:val="none" w:sz="0" w:space="0" w:color="auto"/>
        <w:bottom w:val="none" w:sz="0" w:space="0" w:color="auto"/>
        <w:right w:val="none" w:sz="0" w:space="0" w:color="auto"/>
      </w:divBdr>
    </w:div>
    <w:div w:id="1595745337">
      <w:bodyDiv w:val="1"/>
      <w:marLeft w:val="0"/>
      <w:marRight w:val="0"/>
      <w:marTop w:val="0"/>
      <w:marBottom w:val="0"/>
      <w:divBdr>
        <w:top w:val="none" w:sz="0" w:space="0" w:color="auto"/>
        <w:left w:val="none" w:sz="0" w:space="0" w:color="auto"/>
        <w:bottom w:val="none" w:sz="0" w:space="0" w:color="auto"/>
        <w:right w:val="none" w:sz="0" w:space="0" w:color="auto"/>
      </w:divBdr>
    </w:div>
    <w:div w:id="1799060810">
      <w:bodyDiv w:val="1"/>
      <w:marLeft w:val="0"/>
      <w:marRight w:val="0"/>
      <w:marTop w:val="0"/>
      <w:marBottom w:val="0"/>
      <w:divBdr>
        <w:top w:val="none" w:sz="0" w:space="0" w:color="auto"/>
        <w:left w:val="none" w:sz="0" w:space="0" w:color="auto"/>
        <w:bottom w:val="none" w:sz="0" w:space="0" w:color="auto"/>
        <w:right w:val="none" w:sz="0" w:space="0" w:color="auto"/>
      </w:divBdr>
    </w:div>
    <w:div w:id="1884292440">
      <w:bodyDiv w:val="1"/>
      <w:marLeft w:val="0"/>
      <w:marRight w:val="0"/>
      <w:marTop w:val="0"/>
      <w:marBottom w:val="0"/>
      <w:divBdr>
        <w:top w:val="none" w:sz="0" w:space="0" w:color="auto"/>
        <w:left w:val="none" w:sz="0" w:space="0" w:color="auto"/>
        <w:bottom w:val="none" w:sz="0" w:space="0" w:color="auto"/>
        <w:right w:val="none" w:sz="0" w:space="0" w:color="auto"/>
      </w:divBdr>
    </w:div>
    <w:div w:id="1923026763">
      <w:bodyDiv w:val="1"/>
      <w:marLeft w:val="0"/>
      <w:marRight w:val="0"/>
      <w:marTop w:val="0"/>
      <w:marBottom w:val="0"/>
      <w:divBdr>
        <w:top w:val="none" w:sz="0" w:space="0" w:color="auto"/>
        <w:left w:val="none" w:sz="0" w:space="0" w:color="auto"/>
        <w:bottom w:val="none" w:sz="0" w:space="0" w:color="auto"/>
        <w:right w:val="none" w:sz="0" w:space="0" w:color="auto"/>
      </w:divBdr>
      <w:divsChild>
        <w:div w:id="1677607336">
          <w:marLeft w:val="0"/>
          <w:marRight w:val="0"/>
          <w:marTop w:val="0"/>
          <w:marBottom w:val="0"/>
          <w:divBdr>
            <w:top w:val="none" w:sz="0" w:space="0" w:color="auto"/>
            <w:left w:val="none" w:sz="0" w:space="0" w:color="auto"/>
            <w:bottom w:val="none" w:sz="0" w:space="0" w:color="auto"/>
            <w:right w:val="none" w:sz="0" w:space="0" w:color="auto"/>
          </w:divBdr>
          <w:divsChild>
            <w:div w:id="1342051252">
              <w:marLeft w:val="0"/>
              <w:marRight w:val="0"/>
              <w:marTop w:val="0"/>
              <w:marBottom w:val="0"/>
              <w:divBdr>
                <w:top w:val="none" w:sz="0" w:space="0" w:color="auto"/>
                <w:left w:val="none" w:sz="0" w:space="0" w:color="auto"/>
                <w:bottom w:val="none" w:sz="0" w:space="0" w:color="auto"/>
                <w:right w:val="none" w:sz="0" w:space="0" w:color="auto"/>
              </w:divBdr>
              <w:divsChild>
                <w:div w:id="2102218232">
                  <w:marLeft w:val="0"/>
                  <w:marRight w:val="0"/>
                  <w:marTop w:val="0"/>
                  <w:marBottom w:val="0"/>
                  <w:divBdr>
                    <w:top w:val="none" w:sz="0" w:space="0" w:color="auto"/>
                    <w:left w:val="none" w:sz="0" w:space="0" w:color="auto"/>
                    <w:bottom w:val="none" w:sz="0" w:space="0" w:color="auto"/>
                    <w:right w:val="none" w:sz="0" w:space="0" w:color="auto"/>
                  </w:divBdr>
                  <w:divsChild>
                    <w:div w:id="276639577">
                      <w:marLeft w:val="0"/>
                      <w:marRight w:val="0"/>
                      <w:marTop w:val="0"/>
                      <w:marBottom w:val="0"/>
                      <w:divBdr>
                        <w:top w:val="none" w:sz="0" w:space="0" w:color="auto"/>
                        <w:left w:val="none" w:sz="0" w:space="0" w:color="auto"/>
                        <w:bottom w:val="none" w:sz="0" w:space="0" w:color="auto"/>
                        <w:right w:val="none" w:sz="0" w:space="0" w:color="auto"/>
                      </w:divBdr>
                      <w:divsChild>
                        <w:div w:id="1583224534">
                          <w:marLeft w:val="0"/>
                          <w:marRight w:val="0"/>
                          <w:marTop w:val="0"/>
                          <w:marBottom w:val="0"/>
                          <w:divBdr>
                            <w:top w:val="none" w:sz="0" w:space="0" w:color="auto"/>
                            <w:left w:val="none" w:sz="0" w:space="0" w:color="auto"/>
                            <w:bottom w:val="none" w:sz="0" w:space="0" w:color="auto"/>
                            <w:right w:val="none" w:sz="0" w:space="0" w:color="auto"/>
                          </w:divBdr>
                          <w:divsChild>
                            <w:div w:id="40712639">
                              <w:marLeft w:val="0"/>
                              <w:marRight w:val="0"/>
                              <w:marTop w:val="0"/>
                              <w:marBottom w:val="0"/>
                              <w:divBdr>
                                <w:top w:val="none" w:sz="0" w:space="0" w:color="auto"/>
                                <w:left w:val="none" w:sz="0" w:space="0" w:color="auto"/>
                                <w:bottom w:val="none" w:sz="0" w:space="0" w:color="auto"/>
                                <w:right w:val="none" w:sz="0" w:space="0" w:color="auto"/>
                              </w:divBdr>
                              <w:divsChild>
                                <w:div w:id="43505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4067920">
      <w:bodyDiv w:val="1"/>
      <w:marLeft w:val="0"/>
      <w:marRight w:val="0"/>
      <w:marTop w:val="0"/>
      <w:marBottom w:val="0"/>
      <w:divBdr>
        <w:top w:val="none" w:sz="0" w:space="0" w:color="auto"/>
        <w:left w:val="none" w:sz="0" w:space="0" w:color="auto"/>
        <w:bottom w:val="none" w:sz="0" w:space="0" w:color="auto"/>
        <w:right w:val="none" w:sz="0" w:space="0" w:color="auto"/>
      </w:divBdr>
    </w:div>
    <w:div w:id="2097707307">
      <w:bodyDiv w:val="1"/>
      <w:marLeft w:val="0"/>
      <w:marRight w:val="0"/>
      <w:marTop w:val="0"/>
      <w:marBottom w:val="0"/>
      <w:divBdr>
        <w:top w:val="none" w:sz="0" w:space="0" w:color="auto"/>
        <w:left w:val="none" w:sz="0" w:space="0" w:color="auto"/>
        <w:bottom w:val="none" w:sz="0" w:space="0" w:color="auto"/>
        <w:right w:val="none" w:sz="0" w:space="0" w:color="auto"/>
      </w:divBdr>
      <w:divsChild>
        <w:div w:id="300965539">
          <w:marLeft w:val="547"/>
          <w:marRight w:val="0"/>
          <w:marTop w:val="77"/>
          <w:marBottom w:val="0"/>
          <w:divBdr>
            <w:top w:val="none" w:sz="0" w:space="0" w:color="auto"/>
            <w:left w:val="none" w:sz="0" w:space="0" w:color="auto"/>
            <w:bottom w:val="none" w:sz="0" w:space="0" w:color="auto"/>
            <w:right w:val="none" w:sz="0" w:space="0" w:color="auto"/>
          </w:divBdr>
        </w:div>
        <w:div w:id="565189069">
          <w:marLeft w:val="547"/>
          <w:marRight w:val="0"/>
          <w:marTop w:val="77"/>
          <w:marBottom w:val="0"/>
          <w:divBdr>
            <w:top w:val="none" w:sz="0" w:space="0" w:color="auto"/>
            <w:left w:val="none" w:sz="0" w:space="0" w:color="auto"/>
            <w:bottom w:val="none" w:sz="0" w:space="0" w:color="auto"/>
            <w:right w:val="none" w:sz="0" w:space="0" w:color="auto"/>
          </w:divBdr>
        </w:div>
        <w:div w:id="900361093">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aemps.gob.es/medicamentosUsoHumano/informesPublicos/home.htm" TargetMode="External"/><Relationship Id="rId26" Type="http://schemas.openxmlformats.org/officeDocument/2006/relationships/hyperlink" Target="https://www.nice.org.uk/guidance/indevelopment/gid-ta10270" TargetMode="External"/><Relationship Id="rId3" Type="http://schemas.openxmlformats.org/officeDocument/2006/relationships/customXml" Target="../customXml/item3.xml"/><Relationship Id="rId21" Type="http://schemas.openxmlformats.org/officeDocument/2006/relationships/hyperlink" Target="http://www.ema.europa.eu/docs/en_GB/document_library/Report/2018/05/WC500249247.pdf"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medicinraadet.dk/media/10699/medicinraadets-anbefaling-af-tisagenlecleucel-til-all-vers-10.pdf"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cadth.ca/tisagenlecleucel-kymriah-pediatric-acute-lymphoblastic-leukemia-and-diffuse-large-b-cell-lymphoma" TargetMode="External"/><Relationship Id="rId29" Type="http://schemas.openxmlformats.org/officeDocument/2006/relationships/hyperlink" Target="https://www.has-sante.fr/portail/jcms/c_39085/en/recherche?portlet=c_39085&amp;opSearch=&amp;lang=en&amp;portal=c_2566858&amp;FACET_TYPE=opinions%2Fgenerated.AVISMedicamen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janusinfo.se/Nationellt-inforande-av-nya-lakemedel/Nationellt-inforande-av-nya-lakemedel/Beslut-om-nationell-samverkan/Lakemedel-som-omfattas-av-nationell-samverkan/"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g-ba.de/informationen/nutzenbewertung/386/" TargetMode="External"/><Relationship Id="rId28" Type="http://schemas.openxmlformats.org/officeDocument/2006/relationships/hyperlink" Target="https://nyemetoder.no/metoder/tisagenlecleucel-kymriah" TargetMode="External"/><Relationship Id="rId10" Type="http://schemas.openxmlformats.org/officeDocument/2006/relationships/footnotes" Target="footnotes.xml"/><Relationship Id="rId19" Type="http://schemas.openxmlformats.org/officeDocument/2006/relationships/hyperlink" Target="http://www.aifa.gov.it/content/archivio-comunicati"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iqwig.de/de/projekte-ergebnisse/projekte/gesundheitsoekonomie/g18-11-tisagenlecleucel-akute-lymphatische-b-zell-leukaemie-bewertung-gemaess-35a-abs-1-satz-11-sgb-v.10617.html" TargetMode="External"/><Relationship Id="rId27" Type="http://schemas.openxmlformats.org/officeDocument/2006/relationships/hyperlink" Target="http://www.ncpe.ie/category/drugs/t/page/2/" TargetMode="External"/><Relationship Id="rId30"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666627D7115588468AC9D7C9C4565798" ma:contentTypeVersion="3" ma:contentTypeDescription="Kampus asiakirja" ma:contentTypeScope="" ma:versionID="60fadce83ad13177daa619c981098981">
  <xsd:schema xmlns:xsd="http://www.w3.org/2001/XMLSchema" xmlns:xs="http://www.w3.org/2001/XMLSchema" xmlns:p="http://schemas.microsoft.com/office/2006/metadata/properties" xmlns:ns2="c138b538-c2fd-4cca-8c26-6e4e32e5a042" targetNamespace="http://schemas.microsoft.com/office/2006/metadata/properties" ma:root="true" ma:fieldsID="b4ce4679ac9a398aced3ce1abf64f884" ns2:_="">
    <xsd:import namespace="c138b538-c2fd-4cca-8c26-6e4e32e5a04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9784e934-f3a5-46bb-84a1-4f38c12b1c99}" ma:internalName="TaxCatchAll" ma:showField="CatchAllData" ma:web="8a06fe0f-a256-4f91-88f7-e480c86515b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784e934-f3a5-46bb-84a1-4f38c12b1c99}" ma:internalName="TaxCatchAllLabel" ma:readOnly="true" ma:showField="CatchAllDataLabel" ma:web="8a06fe0f-a256-4f91-88f7-e480c86515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TaxCatchAll xmlns="c138b538-c2fd-4cca-8c26-6e4e32e5a04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acce3c4a-091f-4b07-a6c7-e4a083e8073a" ContentTypeId="0x010100B5FAB64B6C204DD994D3FAC0C34E2BFF"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0B8E7-5D2C-4203-BD2B-8B3BC1F60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3E4711-0D21-46AE-A9EE-BBCC9193EB84}">
  <ds:schemaRefs>
    <ds:schemaRef ds:uri="http://schemas.microsoft.com/office/2006/metadata/properties"/>
    <ds:schemaRef ds:uri="http://schemas.microsoft.com/office/infopath/2007/PartnerControls"/>
    <ds:schemaRef ds:uri="c138b538-c2fd-4cca-8c26-6e4e32e5a042"/>
  </ds:schemaRefs>
</ds:datastoreItem>
</file>

<file path=customXml/itemProps3.xml><?xml version="1.0" encoding="utf-8"?>
<ds:datastoreItem xmlns:ds="http://schemas.openxmlformats.org/officeDocument/2006/customXml" ds:itemID="{1897D1EC-1B61-4DF8-AD4E-3FF42CB986BF}">
  <ds:schemaRefs>
    <ds:schemaRef ds:uri="http://schemas.microsoft.com/sharepoint/v3/contenttype/forms"/>
  </ds:schemaRefs>
</ds:datastoreItem>
</file>

<file path=customXml/itemProps4.xml><?xml version="1.0" encoding="utf-8"?>
<ds:datastoreItem xmlns:ds="http://schemas.openxmlformats.org/officeDocument/2006/customXml" ds:itemID="{7466D579-F93E-4196-A53B-64ED119B7FAC}">
  <ds:schemaRefs>
    <ds:schemaRef ds:uri="Microsoft.SharePoint.Taxonomy.ContentTypeSync"/>
  </ds:schemaRefs>
</ds:datastoreItem>
</file>

<file path=customXml/itemProps5.xml><?xml version="1.0" encoding="utf-8"?>
<ds:datastoreItem xmlns:ds="http://schemas.openxmlformats.org/officeDocument/2006/customXml" ds:itemID="{C4816C91-31AE-4312-9C51-59C7F8358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14</Pages>
  <Words>3041</Words>
  <Characters>24634</Characters>
  <Application>Microsoft Office Word</Application>
  <DocSecurity>0</DocSecurity>
  <Lines>205</Lines>
  <Paragraphs>55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Versio otakantaa.fi-palveluun.</vt:lpstr>
      <vt:lpstr>Versio otakantaa.fi-palveluun.</vt:lpstr>
    </vt:vector>
  </TitlesOfParts>
  <Company>VIP</Company>
  <LinksUpToDate>false</LinksUpToDate>
  <CharactersWithSpaces>27620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 otakantaa.fi-palveluun.</dc:title>
  <dc:creator>stmsark</dc:creator>
  <cp:lastModifiedBy>Palonen Reima (STM)</cp:lastModifiedBy>
  <cp:revision>4</cp:revision>
  <cp:lastPrinted>2016-06-06T07:39:00Z</cp:lastPrinted>
  <dcterms:created xsi:type="dcterms:W3CDTF">2019-02-12T08:49:00Z</dcterms:created>
  <dcterms:modified xsi:type="dcterms:W3CDTF">2019-02-13T14:32:00Z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0x010100B5FAB64B6C204DD994D3FAC0C34E2BFF00666627D7115588468AC9D7C9C4565798</vt:lpwstr>
  </property>
  <property fmtid="{D5CDD505-2E9C-101B-9397-08002B2CF9AE}" pid="4" name="KampusOrganization">
    <vt:lpwstr/>
  </property>
  <property fmtid="{D5CDD505-2E9C-101B-9397-08002B2CF9AE}" pid="5" name="KampusKeywords">
    <vt:lpwstr/>
  </property>
</Properties>
</file>